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AE6F" w14:textId="77777777" w:rsidR="000F7327" w:rsidRDefault="00420368">
      <w:pPr>
        <w:spacing w:after="40"/>
        <w:jc w:val="center"/>
      </w:pPr>
      <w:r>
        <w:rPr>
          <w:b/>
          <w:bCs/>
          <w:color w:val="1F4E79"/>
          <w:sz w:val="26"/>
          <w:szCs w:val="26"/>
        </w:rPr>
        <w:t>FLINT HOUSING COMMISSION</w:t>
      </w:r>
    </w:p>
    <w:p w14:paraId="0C3BA8BA" w14:textId="77777777" w:rsidR="000F7327" w:rsidRDefault="00420368" w:rsidP="0087076D">
      <w:pPr>
        <w:pBdr>
          <w:bottom w:val="single" w:sz="4" w:space="1" w:color="auto"/>
        </w:pBdr>
        <w:spacing w:after="40"/>
        <w:jc w:val="center"/>
      </w:pPr>
      <w:r>
        <w:rPr>
          <w:b/>
          <w:bCs/>
          <w:color w:val="1F4E79"/>
          <w:sz w:val="30"/>
          <w:szCs w:val="30"/>
        </w:rPr>
        <w:t>Freedom of Information Act (FOIA) Policy</w:t>
      </w:r>
    </w:p>
    <w:p w14:paraId="7BEA53A0" w14:textId="77777777" w:rsidR="000F7327" w:rsidRDefault="00420368">
      <w:pPr>
        <w:pStyle w:val="Heading1"/>
      </w:pPr>
      <w:r>
        <w:t>1</w:t>
      </w:r>
      <w:proofErr w:type="gramStart"/>
      <w:r>
        <w:t>.  Purpose</w:t>
      </w:r>
      <w:proofErr w:type="gramEnd"/>
    </w:p>
    <w:p w14:paraId="67970CDF" w14:textId="77777777" w:rsidR="000F7327" w:rsidRDefault="00420368">
      <w:pPr>
        <w:spacing w:after="130"/>
      </w:pPr>
      <w:r>
        <w:t>This policy establishes procedures for the Flint Housing Commission (FHC) in responding to public records requests under the Michigan Freedom of Information Act (FOIA), MCL 15.231 et seq. FHC is committed to transparency and lawful disclosure of public records.</w:t>
      </w:r>
    </w:p>
    <w:p w14:paraId="28D5A8A5" w14:textId="77777777" w:rsidR="000F7327" w:rsidRDefault="00420368">
      <w:pPr>
        <w:pStyle w:val="Heading1"/>
      </w:pPr>
      <w:r>
        <w:t>2</w:t>
      </w:r>
      <w:proofErr w:type="gramStart"/>
      <w:r>
        <w:t>.  FOIA</w:t>
      </w:r>
      <w:proofErr w:type="gramEnd"/>
      <w:r>
        <w:t xml:space="preserve"> Coordinator (MCL 15.236)</w:t>
      </w:r>
    </w:p>
    <w:p w14:paraId="27B38F6B" w14:textId="77777777" w:rsidR="000F7327" w:rsidRDefault="00420368">
      <w:pPr>
        <w:spacing w:after="60"/>
      </w:pPr>
      <w:r>
        <w:t>The Executive Assistant to the CEO is designated as the FHC FOIA Coordinator and is responsible for:</w:t>
      </w:r>
    </w:p>
    <w:p w14:paraId="2E91CEAB" w14:textId="77777777" w:rsidR="000F7327" w:rsidRDefault="00420368">
      <w:pPr>
        <w:pStyle w:val="ListParagraph"/>
        <w:numPr>
          <w:ilvl w:val="0"/>
          <w:numId w:val="2"/>
        </w:numPr>
      </w:pPr>
      <w:r>
        <w:t>Receiving, logging, and acknowledging all incoming FOIA requests;</w:t>
      </w:r>
    </w:p>
    <w:p w14:paraId="2AB244F3" w14:textId="77777777" w:rsidR="000F7327" w:rsidRDefault="00420368">
      <w:pPr>
        <w:pStyle w:val="ListParagraph"/>
        <w:numPr>
          <w:ilvl w:val="0"/>
          <w:numId w:val="2"/>
        </w:numPr>
      </w:pPr>
      <w:r>
        <w:t>Locating, gathering, reviewing, and preparing all responsive public records;</w:t>
      </w:r>
    </w:p>
    <w:p w14:paraId="140BD50E" w14:textId="77777777" w:rsidR="000F7327" w:rsidRDefault="00420368">
      <w:pPr>
        <w:pStyle w:val="ListParagraph"/>
        <w:numPr>
          <w:ilvl w:val="0"/>
          <w:numId w:val="2"/>
        </w:numPr>
      </w:pPr>
      <w:r>
        <w:t>Issuing timely responses, fee estimates, extension notices, and denial letters;</w:t>
      </w:r>
    </w:p>
    <w:p w14:paraId="24F92519" w14:textId="77777777" w:rsidR="000F7327" w:rsidRDefault="00420368">
      <w:pPr>
        <w:pStyle w:val="ListParagraph"/>
        <w:numPr>
          <w:ilvl w:val="0"/>
          <w:numId w:val="2"/>
        </w:numPr>
      </w:pPr>
      <w:r>
        <w:t>Maintaining the FOIA request log and all related records;</w:t>
      </w:r>
    </w:p>
    <w:p w14:paraId="0510ED9A" w14:textId="77777777" w:rsidR="000F7327" w:rsidRDefault="00420368">
      <w:pPr>
        <w:pStyle w:val="ListParagraph"/>
        <w:numPr>
          <w:ilvl w:val="0"/>
          <w:numId w:val="2"/>
        </w:numPr>
      </w:pPr>
      <w:r>
        <w:t>Coordinating with FHC staff and departments as needed to fulfill requests.</w:t>
      </w:r>
    </w:p>
    <w:p w14:paraId="7577E54A" w14:textId="77777777" w:rsidR="000F7327" w:rsidRDefault="000F7327"/>
    <w:p w14:paraId="13A43881" w14:textId="77777777" w:rsidR="000F7327" w:rsidRDefault="00420368">
      <w:pPr>
        <w:pStyle w:val="Heading1"/>
      </w:pPr>
      <w:r>
        <w:t>3</w:t>
      </w:r>
      <w:proofErr w:type="gramStart"/>
      <w:r>
        <w:t>.  Response</w:t>
      </w:r>
      <w:proofErr w:type="gramEnd"/>
      <w:r>
        <w:t xml:space="preserve"> Timeline &amp; How the Clock Works (MCL 15.235)</w:t>
      </w:r>
    </w:p>
    <w:p w14:paraId="1E1860A4" w14:textId="77777777" w:rsidR="000F7327" w:rsidRDefault="00420368">
      <w:pPr>
        <w:spacing w:after="60"/>
      </w:pPr>
      <w:r>
        <w:t>Michigan FOIA imposes two distinct timeframes that FHC must understand and follow:</w:t>
      </w:r>
    </w:p>
    <w:p w14:paraId="28403AC3" w14:textId="77777777" w:rsidR="000F7327" w:rsidRDefault="00420368">
      <w:pPr>
        <w:pStyle w:val="ListParagraph"/>
        <w:numPr>
          <w:ilvl w:val="0"/>
          <w:numId w:val="2"/>
        </w:numPr>
      </w:pPr>
      <w:r>
        <w:t xml:space="preserve">Written Response Deadline: FHC must issue a written response within 5 business days of receiving a FOIA request. This written response may be a grant, denial, partial grant/denial, or a written fee estimate and deposit notice. One extension of up to 10 additional business days is permitted, for a maximum of 15 business </w:t>
      </w:r>
      <w:proofErr w:type="gramStart"/>
      <w:r>
        <w:t>days</w:t>
      </w:r>
      <w:proofErr w:type="gramEnd"/>
      <w:r>
        <w:t xml:space="preserve"> to issue </w:t>
      </w:r>
      <w:proofErr w:type="gramStart"/>
      <w:r>
        <w:t>the</w:t>
      </w:r>
      <w:proofErr w:type="gramEnd"/>
      <w:r>
        <w:t xml:space="preserve"> written response.</w:t>
      </w:r>
    </w:p>
    <w:p w14:paraId="431B13BF" w14:textId="77777777" w:rsidR="000F7327" w:rsidRDefault="00420368">
      <w:pPr>
        <w:pStyle w:val="ListParagraph"/>
        <w:numPr>
          <w:ilvl w:val="0"/>
          <w:numId w:val="2"/>
        </w:numPr>
      </w:pPr>
      <w:r>
        <w:t>Work Clock — Tolled Until Deposit Received: FHC will NOT begin locating, gathering, or reviewing records until the required 50% deposit is received. The clock for actual work does not start until the deposit is paid. This means the 5/15-day deadline applies to FHC’s written response only — not to the completion and delivery of the records.</w:t>
      </w:r>
    </w:p>
    <w:p w14:paraId="00D1561D" w14:textId="77777777" w:rsidR="000F7327" w:rsidRDefault="00420368">
      <w:pPr>
        <w:pStyle w:val="ListParagraph"/>
        <w:numPr>
          <w:ilvl w:val="0"/>
          <w:numId w:val="2"/>
        </w:numPr>
      </w:pPr>
      <w:r>
        <w:t>Best-Efforts Completion Estimate: When FHC sends its written fee estimate and deposit notice, it shall include a good-faith estimated timeframe for completing the request after the deposit is received, as required under MCL 15.234(8). FHC is guided by, but not strictly bound by, this estimate, provided it acts in good faith and without unreasonable delay.</w:t>
      </w:r>
    </w:p>
    <w:p w14:paraId="79E15433" w14:textId="77777777" w:rsidR="000F7327" w:rsidRDefault="00420368">
      <w:pPr>
        <w:spacing w:before="80" w:after="60"/>
      </w:pPr>
      <w:r>
        <w:rPr>
          <w:b/>
          <w:bCs/>
          <w:color w:val="1F4E79"/>
        </w:rPr>
        <w:t>Illustrated Example — How the Clock Works (For Requestors and Staff)</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5728"/>
      </w:tblGrid>
      <w:tr w:rsidR="000F7327" w14:paraId="2BB70D7E" w14:textId="77777777">
        <w:trPr>
          <w:tblHeader/>
        </w:trPr>
        <w:tc>
          <w:tcPr>
            <w:tcW w:w="1500" w:type="dxa"/>
            <w:shd w:val="clear" w:color="auto" w:fill="1F4E79"/>
            <w:tcMar>
              <w:top w:w="70" w:type="dxa"/>
              <w:left w:w="120" w:type="dxa"/>
              <w:bottom w:w="70" w:type="dxa"/>
              <w:right w:w="120" w:type="dxa"/>
            </w:tcMar>
          </w:tcPr>
          <w:p w14:paraId="5468152C" w14:textId="77777777" w:rsidR="000F7327" w:rsidRDefault="00420368">
            <w:r>
              <w:rPr>
                <w:b/>
                <w:bCs/>
                <w:color w:val="FFFFFF"/>
                <w:sz w:val="19"/>
                <w:szCs w:val="19"/>
              </w:rPr>
              <w:t>When</w:t>
            </w:r>
          </w:p>
        </w:tc>
        <w:tc>
          <w:tcPr>
            <w:tcW w:w="1700" w:type="dxa"/>
            <w:shd w:val="clear" w:color="auto" w:fill="1F4E79"/>
            <w:tcMar>
              <w:top w:w="70" w:type="dxa"/>
              <w:left w:w="120" w:type="dxa"/>
              <w:bottom w:w="70" w:type="dxa"/>
              <w:right w:w="120" w:type="dxa"/>
            </w:tcMar>
          </w:tcPr>
          <w:p w14:paraId="38012CE6" w14:textId="77777777" w:rsidR="000F7327" w:rsidRDefault="00420368">
            <w:r>
              <w:rPr>
                <w:b/>
                <w:bCs/>
                <w:color w:val="FFFFFF"/>
                <w:sz w:val="19"/>
                <w:szCs w:val="19"/>
              </w:rPr>
              <w:t>Who Acts</w:t>
            </w:r>
          </w:p>
        </w:tc>
        <w:tc>
          <w:tcPr>
            <w:tcW w:w="5728" w:type="dxa"/>
            <w:shd w:val="clear" w:color="auto" w:fill="1F4E79"/>
            <w:tcMar>
              <w:top w:w="70" w:type="dxa"/>
              <w:left w:w="120" w:type="dxa"/>
              <w:bottom w:w="70" w:type="dxa"/>
              <w:right w:w="120" w:type="dxa"/>
            </w:tcMar>
          </w:tcPr>
          <w:p w14:paraId="20244D52" w14:textId="77777777" w:rsidR="000F7327" w:rsidRDefault="00420368">
            <w:r>
              <w:rPr>
                <w:b/>
                <w:bCs/>
                <w:color w:val="FFFFFF"/>
                <w:sz w:val="19"/>
                <w:szCs w:val="19"/>
              </w:rPr>
              <w:t>What Happens</w:t>
            </w:r>
          </w:p>
        </w:tc>
      </w:tr>
      <w:tr w:rsidR="000F7327" w14:paraId="3F0D849A" w14:textId="77777777">
        <w:tc>
          <w:tcPr>
            <w:tcW w:w="1500" w:type="dxa"/>
            <w:shd w:val="clear" w:color="auto" w:fill="DEEAF1"/>
            <w:tcMar>
              <w:top w:w="70" w:type="dxa"/>
              <w:left w:w="120" w:type="dxa"/>
              <w:bottom w:w="70" w:type="dxa"/>
              <w:right w:w="120" w:type="dxa"/>
            </w:tcMar>
          </w:tcPr>
          <w:p w14:paraId="288D7849" w14:textId="77777777" w:rsidR="000F7327" w:rsidRDefault="00420368">
            <w:r>
              <w:rPr>
                <w:b/>
                <w:bCs/>
                <w:sz w:val="19"/>
                <w:szCs w:val="19"/>
              </w:rPr>
              <w:t>Day 1</w:t>
            </w:r>
          </w:p>
        </w:tc>
        <w:tc>
          <w:tcPr>
            <w:tcW w:w="1700" w:type="dxa"/>
            <w:shd w:val="clear" w:color="auto" w:fill="DEEAF1"/>
            <w:tcMar>
              <w:top w:w="70" w:type="dxa"/>
              <w:left w:w="120" w:type="dxa"/>
              <w:bottom w:w="70" w:type="dxa"/>
              <w:right w:w="120" w:type="dxa"/>
            </w:tcMar>
          </w:tcPr>
          <w:p w14:paraId="564C565E" w14:textId="77777777" w:rsidR="000F7327" w:rsidRDefault="00420368">
            <w:r>
              <w:rPr>
                <w:sz w:val="19"/>
                <w:szCs w:val="19"/>
              </w:rPr>
              <w:t>Requestor</w:t>
            </w:r>
          </w:p>
        </w:tc>
        <w:tc>
          <w:tcPr>
            <w:tcW w:w="5728" w:type="dxa"/>
            <w:shd w:val="clear" w:color="auto" w:fill="DEEAF1"/>
            <w:tcMar>
              <w:top w:w="70" w:type="dxa"/>
              <w:left w:w="120" w:type="dxa"/>
              <w:bottom w:w="70" w:type="dxa"/>
              <w:right w:w="120" w:type="dxa"/>
            </w:tcMar>
          </w:tcPr>
          <w:p w14:paraId="499A49C9" w14:textId="77777777" w:rsidR="000F7327" w:rsidRDefault="00420368">
            <w:r>
              <w:rPr>
                <w:sz w:val="19"/>
                <w:szCs w:val="19"/>
              </w:rPr>
              <w:t>Written FOIA request received by FHC. The 5-business-day written response clock begins.</w:t>
            </w:r>
          </w:p>
        </w:tc>
      </w:tr>
      <w:tr w:rsidR="000F7327" w14:paraId="26074A85" w14:textId="77777777">
        <w:tc>
          <w:tcPr>
            <w:tcW w:w="1500" w:type="dxa"/>
            <w:tcMar>
              <w:top w:w="70" w:type="dxa"/>
              <w:left w:w="120" w:type="dxa"/>
              <w:bottom w:w="70" w:type="dxa"/>
              <w:right w:w="120" w:type="dxa"/>
            </w:tcMar>
          </w:tcPr>
          <w:p w14:paraId="04A4E6F5" w14:textId="77777777" w:rsidR="000F7327" w:rsidRDefault="00420368">
            <w:r>
              <w:rPr>
                <w:b/>
                <w:bCs/>
                <w:sz w:val="19"/>
                <w:szCs w:val="19"/>
              </w:rPr>
              <w:t>By Day 5</w:t>
            </w:r>
          </w:p>
        </w:tc>
        <w:tc>
          <w:tcPr>
            <w:tcW w:w="1700" w:type="dxa"/>
            <w:tcMar>
              <w:top w:w="70" w:type="dxa"/>
              <w:left w:w="120" w:type="dxa"/>
              <w:bottom w:w="70" w:type="dxa"/>
              <w:right w:w="120" w:type="dxa"/>
            </w:tcMar>
          </w:tcPr>
          <w:p w14:paraId="453D04C5" w14:textId="77777777" w:rsidR="000F7327" w:rsidRDefault="00420368">
            <w:r>
              <w:rPr>
                <w:sz w:val="19"/>
                <w:szCs w:val="19"/>
              </w:rPr>
              <w:t>FHC</w:t>
            </w:r>
          </w:p>
        </w:tc>
        <w:tc>
          <w:tcPr>
            <w:tcW w:w="5728" w:type="dxa"/>
            <w:tcMar>
              <w:top w:w="70" w:type="dxa"/>
              <w:left w:w="120" w:type="dxa"/>
              <w:bottom w:w="70" w:type="dxa"/>
              <w:right w:w="120" w:type="dxa"/>
            </w:tcMar>
          </w:tcPr>
          <w:p w14:paraId="50ECC325" w14:textId="77777777" w:rsidR="000F7327" w:rsidRDefault="00420368">
            <w:r>
              <w:rPr>
                <w:sz w:val="19"/>
                <w:szCs w:val="19"/>
              </w:rPr>
              <w:t xml:space="preserve">If fees cannot yet be estimated, FHC </w:t>
            </w:r>
            <w:proofErr w:type="gramStart"/>
            <w:r>
              <w:rPr>
                <w:sz w:val="19"/>
                <w:szCs w:val="19"/>
              </w:rPr>
              <w:t>issues</w:t>
            </w:r>
            <w:proofErr w:type="gramEnd"/>
            <w:r>
              <w:rPr>
                <w:sz w:val="19"/>
                <w:szCs w:val="19"/>
              </w:rPr>
              <w:t xml:space="preserve"> a written 10-business-day extension notice stating the reason. This </w:t>
            </w:r>
            <w:proofErr w:type="gramStart"/>
            <w:r>
              <w:rPr>
                <w:sz w:val="19"/>
                <w:szCs w:val="19"/>
              </w:rPr>
              <w:t>fulfills the Day</w:t>
            </w:r>
            <w:proofErr w:type="gramEnd"/>
            <w:r>
              <w:rPr>
                <w:sz w:val="19"/>
                <w:szCs w:val="19"/>
              </w:rPr>
              <w:t xml:space="preserve"> 5 obligation. The clock extends to Day 15.</w:t>
            </w:r>
          </w:p>
        </w:tc>
      </w:tr>
      <w:tr w:rsidR="000F7327" w14:paraId="6DDD610D" w14:textId="77777777">
        <w:tc>
          <w:tcPr>
            <w:tcW w:w="1500" w:type="dxa"/>
            <w:shd w:val="clear" w:color="auto" w:fill="DEEAF1"/>
            <w:tcMar>
              <w:top w:w="70" w:type="dxa"/>
              <w:left w:w="120" w:type="dxa"/>
              <w:bottom w:w="70" w:type="dxa"/>
              <w:right w:w="120" w:type="dxa"/>
            </w:tcMar>
          </w:tcPr>
          <w:p w14:paraId="00C28F43" w14:textId="77777777" w:rsidR="000F7327" w:rsidRDefault="00420368">
            <w:r>
              <w:rPr>
                <w:b/>
                <w:bCs/>
                <w:sz w:val="19"/>
                <w:szCs w:val="19"/>
              </w:rPr>
              <w:t>By Day 15</w:t>
            </w:r>
          </w:p>
        </w:tc>
        <w:tc>
          <w:tcPr>
            <w:tcW w:w="1700" w:type="dxa"/>
            <w:shd w:val="clear" w:color="auto" w:fill="DEEAF1"/>
            <w:tcMar>
              <w:top w:w="70" w:type="dxa"/>
              <w:left w:w="120" w:type="dxa"/>
              <w:bottom w:w="70" w:type="dxa"/>
              <w:right w:w="120" w:type="dxa"/>
            </w:tcMar>
          </w:tcPr>
          <w:p w14:paraId="42FEA0A2" w14:textId="77777777" w:rsidR="000F7327" w:rsidRDefault="00420368">
            <w:r>
              <w:rPr>
                <w:sz w:val="19"/>
                <w:szCs w:val="19"/>
              </w:rPr>
              <w:t>FHC</w:t>
            </w:r>
          </w:p>
        </w:tc>
        <w:tc>
          <w:tcPr>
            <w:tcW w:w="5728" w:type="dxa"/>
            <w:shd w:val="clear" w:color="auto" w:fill="DEEAF1"/>
            <w:tcMar>
              <w:top w:w="70" w:type="dxa"/>
              <w:left w:w="120" w:type="dxa"/>
              <w:bottom w:w="70" w:type="dxa"/>
              <w:right w:w="120" w:type="dxa"/>
            </w:tcMar>
          </w:tcPr>
          <w:p w14:paraId="3D652F89" w14:textId="77777777" w:rsidR="000F7327" w:rsidRDefault="00420368">
            <w:r>
              <w:rPr>
                <w:sz w:val="19"/>
                <w:szCs w:val="19"/>
              </w:rPr>
              <w:t>FHC issues a written fee estimate and 50% deposit notice. This is FHC’s final required written response under MCL 15.235. FHC has now met its full statutory obligation. The 15-day clock STOPS here.</w:t>
            </w:r>
          </w:p>
        </w:tc>
      </w:tr>
      <w:tr w:rsidR="000F7327" w14:paraId="19D61CA5" w14:textId="77777777">
        <w:tc>
          <w:tcPr>
            <w:tcW w:w="1500" w:type="dxa"/>
            <w:tcMar>
              <w:top w:w="70" w:type="dxa"/>
              <w:left w:w="120" w:type="dxa"/>
              <w:bottom w:w="70" w:type="dxa"/>
              <w:right w:w="120" w:type="dxa"/>
            </w:tcMar>
          </w:tcPr>
          <w:p w14:paraId="60E11819" w14:textId="77777777" w:rsidR="000F7327" w:rsidRDefault="00420368">
            <w:r>
              <w:rPr>
                <w:b/>
                <w:bCs/>
                <w:sz w:val="19"/>
                <w:szCs w:val="19"/>
              </w:rPr>
              <w:t>Day 16 Onward</w:t>
            </w:r>
          </w:p>
        </w:tc>
        <w:tc>
          <w:tcPr>
            <w:tcW w:w="1700" w:type="dxa"/>
            <w:tcMar>
              <w:top w:w="70" w:type="dxa"/>
              <w:left w:w="120" w:type="dxa"/>
              <w:bottom w:w="70" w:type="dxa"/>
              <w:right w:w="120" w:type="dxa"/>
            </w:tcMar>
          </w:tcPr>
          <w:p w14:paraId="366651F9" w14:textId="77777777" w:rsidR="000F7327" w:rsidRDefault="00420368">
            <w:r>
              <w:rPr>
                <w:sz w:val="19"/>
                <w:szCs w:val="19"/>
              </w:rPr>
              <w:t>Requestor</w:t>
            </w:r>
          </w:p>
        </w:tc>
        <w:tc>
          <w:tcPr>
            <w:tcW w:w="5728" w:type="dxa"/>
            <w:tcMar>
              <w:top w:w="70" w:type="dxa"/>
              <w:left w:w="120" w:type="dxa"/>
              <w:bottom w:w="70" w:type="dxa"/>
              <w:right w:w="120" w:type="dxa"/>
            </w:tcMar>
          </w:tcPr>
          <w:p w14:paraId="0E637D99" w14:textId="77777777" w:rsidR="000F7327" w:rsidRDefault="00420368">
            <w:r>
              <w:rPr>
                <w:sz w:val="19"/>
                <w:szCs w:val="19"/>
              </w:rPr>
              <w:t>FHC waits for the deposit. There is NO statutory deadline during this period. FHC is NOT in violation of FOIA for waiting and may NOT begin work. Requestor has up to 45 days from the fee estimate notice to pay the deposit.</w:t>
            </w:r>
          </w:p>
        </w:tc>
      </w:tr>
      <w:tr w:rsidR="000F7327" w14:paraId="734F3174" w14:textId="77777777">
        <w:tc>
          <w:tcPr>
            <w:tcW w:w="1500" w:type="dxa"/>
            <w:shd w:val="clear" w:color="auto" w:fill="DEEAF1"/>
            <w:tcMar>
              <w:top w:w="70" w:type="dxa"/>
              <w:left w:w="120" w:type="dxa"/>
              <w:bottom w:w="70" w:type="dxa"/>
              <w:right w:w="120" w:type="dxa"/>
            </w:tcMar>
          </w:tcPr>
          <w:p w14:paraId="4615930C" w14:textId="77777777" w:rsidR="000F7327" w:rsidRDefault="00420368">
            <w:r>
              <w:rPr>
                <w:b/>
                <w:bCs/>
                <w:sz w:val="19"/>
                <w:szCs w:val="19"/>
              </w:rPr>
              <w:t>Deposit Received</w:t>
            </w:r>
          </w:p>
        </w:tc>
        <w:tc>
          <w:tcPr>
            <w:tcW w:w="1700" w:type="dxa"/>
            <w:shd w:val="clear" w:color="auto" w:fill="DEEAF1"/>
            <w:tcMar>
              <w:top w:w="70" w:type="dxa"/>
              <w:left w:w="120" w:type="dxa"/>
              <w:bottom w:w="70" w:type="dxa"/>
              <w:right w:w="120" w:type="dxa"/>
            </w:tcMar>
          </w:tcPr>
          <w:p w14:paraId="44B71A89" w14:textId="77777777" w:rsidR="000F7327" w:rsidRDefault="00420368">
            <w:r>
              <w:rPr>
                <w:sz w:val="19"/>
                <w:szCs w:val="19"/>
              </w:rPr>
              <w:t>FHC</w:t>
            </w:r>
          </w:p>
        </w:tc>
        <w:tc>
          <w:tcPr>
            <w:tcW w:w="5728" w:type="dxa"/>
            <w:shd w:val="clear" w:color="auto" w:fill="DEEAF1"/>
            <w:tcMar>
              <w:top w:w="70" w:type="dxa"/>
              <w:left w:w="120" w:type="dxa"/>
              <w:bottom w:w="70" w:type="dxa"/>
              <w:right w:w="120" w:type="dxa"/>
            </w:tcMar>
          </w:tcPr>
          <w:p w14:paraId="3F81D82E" w14:textId="77777777" w:rsidR="000F7327" w:rsidRDefault="00420368">
            <w:r>
              <w:rPr>
                <w:sz w:val="19"/>
                <w:szCs w:val="19"/>
              </w:rPr>
              <w:t>Work begins. FHC locates, gathers, and reviews records. FHC must complete work within its good-faith estimated timeframe.</w:t>
            </w:r>
          </w:p>
        </w:tc>
      </w:tr>
      <w:tr w:rsidR="000F7327" w14:paraId="0CE63181" w14:textId="77777777">
        <w:tc>
          <w:tcPr>
            <w:tcW w:w="1500" w:type="dxa"/>
            <w:tcMar>
              <w:top w:w="70" w:type="dxa"/>
              <w:left w:w="120" w:type="dxa"/>
              <w:bottom w:w="70" w:type="dxa"/>
              <w:right w:w="120" w:type="dxa"/>
            </w:tcMar>
          </w:tcPr>
          <w:p w14:paraId="402919B0" w14:textId="77777777" w:rsidR="000F7327" w:rsidRDefault="00420368">
            <w:r>
              <w:rPr>
                <w:b/>
                <w:bCs/>
                <w:sz w:val="19"/>
                <w:szCs w:val="19"/>
              </w:rPr>
              <w:lastRenderedPageBreak/>
              <w:t>Work Complete</w:t>
            </w:r>
          </w:p>
        </w:tc>
        <w:tc>
          <w:tcPr>
            <w:tcW w:w="1700" w:type="dxa"/>
            <w:tcMar>
              <w:top w:w="70" w:type="dxa"/>
              <w:left w:w="120" w:type="dxa"/>
              <w:bottom w:w="70" w:type="dxa"/>
              <w:right w:w="120" w:type="dxa"/>
            </w:tcMar>
          </w:tcPr>
          <w:p w14:paraId="03CB5A2B" w14:textId="77777777" w:rsidR="000F7327" w:rsidRDefault="00420368">
            <w:r>
              <w:rPr>
                <w:sz w:val="19"/>
                <w:szCs w:val="19"/>
              </w:rPr>
              <w:t>FHC</w:t>
            </w:r>
          </w:p>
        </w:tc>
        <w:tc>
          <w:tcPr>
            <w:tcW w:w="5728" w:type="dxa"/>
            <w:tcMar>
              <w:top w:w="70" w:type="dxa"/>
              <w:left w:w="120" w:type="dxa"/>
              <w:bottom w:w="70" w:type="dxa"/>
              <w:right w:w="120" w:type="dxa"/>
            </w:tcMar>
          </w:tcPr>
          <w:p w14:paraId="2B4EE64F" w14:textId="77777777" w:rsidR="000F7327" w:rsidRDefault="00420368">
            <w:r>
              <w:rPr>
                <w:sz w:val="19"/>
                <w:szCs w:val="19"/>
              </w:rPr>
              <w:t>FHC issues final invoice for remaining balance. Records are held until full final payment is received. Upon payment, records are released.</w:t>
            </w:r>
          </w:p>
        </w:tc>
      </w:tr>
      <w:tr w:rsidR="000F7327" w14:paraId="50676107" w14:textId="77777777">
        <w:tc>
          <w:tcPr>
            <w:tcW w:w="1500" w:type="dxa"/>
            <w:shd w:val="clear" w:color="auto" w:fill="FFF2CC"/>
            <w:tcMar>
              <w:top w:w="70" w:type="dxa"/>
              <w:left w:w="120" w:type="dxa"/>
              <w:bottom w:w="70" w:type="dxa"/>
              <w:right w:w="120" w:type="dxa"/>
            </w:tcMar>
          </w:tcPr>
          <w:p w14:paraId="7605DC4E" w14:textId="77777777" w:rsidR="000F7327" w:rsidRDefault="00420368">
            <w:r>
              <w:rPr>
                <w:b/>
                <w:bCs/>
                <w:color w:val="C00000"/>
                <w:sz w:val="19"/>
                <w:szCs w:val="19"/>
              </w:rPr>
              <w:t>Day 45 — No Deposit Paid</w:t>
            </w:r>
          </w:p>
        </w:tc>
        <w:tc>
          <w:tcPr>
            <w:tcW w:w="1700" w:type="dxa"/>
            <w:shd w:val="clear" w:color="auto" w:fill="FFF2CC"/>
            <w:tcMar>
              <w:top w:w="70" w:type="dxa"/>
              <w:left w:w="120" w:type="dxa"/>
              <w:bottom w:w="70" w:type="dxa"/>
              <w:right w:w="120" w:type="dxa"/>
            </w:tcMar>
          </w:tcPr>
          <w:p w14:paraId="59E19040" w14:textId="77777777" w:rsidR="000F7327" w:rsidRDefault="00420368">
            <w:r>
              <w:rPr>
                <w:color w:val="C00000"/>
                <w:sz w:val="19"/>
                <w:szCs w:val="19"/>
              </w:rPr>
              <w:t>FHC</w:t>
            </w:r>
          </w:p>
        </w:tc>
        <w:tc>
          <w:tcPr>
            <w:tcW w:w="5728" w:type="dxa"/>
            <w:shd w:val="clear" w:color="auto" w:fill="FFF2CC"/>
            <w:tcMar>
              <w:top w:w="70" w:type="dxa"/>
              <w:left w:w="120" w:type="dxa"/>
              <w:bottom w:w="70" w:type="dxa"/>
              <w:right w:w="120" w:type="dxa"/>
            </w:tcMar>
          </w:tcPr>
          <w:p w14:paraId="3D67C117" w14:textId="77777777" w:rsidR="000F7327" w:rsidRDefault="00420368">
            <w:r>
              <w:rPr>
                <w:color w:val="C00000"/>
                <w:sz w:val="19"/>
                <w:szCs w:val="19"/>
              </w:rPr>
              <w:t xml:space="preserve">Request is administratively closed as abandoned. FHC sends written closure </w:t>
            </w:r>
            <w:proofErr w:type="gramStart"/>
            <w:r>
              <w:rPr>
                <w:color w:val="C00000"/>
                <w:sz w:val="19"/>
                <w:szCs w:val="19"/>
              </w:rPr>
              <w:t>notice</w:t>
            </w:r>
            <w:proofErr w:type="gramEnd"/>
            <w:r>
              <w:rPr>
                <w:color w:val="C00000"/>
                <w:sz w:val="19"/>
                <w:szCs w:val="19"/>
              </w:rPr>
              <w:t>. FHC is NOT in violation of FOIA. A new written request and new deposit are required to restart the process.</w:t>
            </w:r>
          </w:p>
        </w:tc>
      </w:tr>
    </w:tbl>
    <w:p w14:paraId="290222EF" w14:textId="77777777" w:rsidR="000F7327" w:rsidRDefault="00420368">
      <w:pPr>
        <w:spacing w:before="100" w:after="60"/>
      </w:pPr>
      <w:r>
        <w:rPr>
          <w:b/>
          <w:bCs/>
          <w:color w:val="1F4E79"/>
          <w:sz w:val="23"/>
          <w:szCs w:val="23"/>
        </w:rPr>
        <w:t>Clarification: What Does the 5-Day / 15-Day Clock Actually Control?</w:t>
      </w:r>
    </w:p>
    <w:p w14:paraId="5202F90C" w14:textId="77777777" w:rsidR="000F7327" w:rsidRDefault="00420368">
      <w:pPr>
        <w:spacing w:after="60"/>
      </w:pPr>
      <w:r>
        <w:t>Many requestors assume the 5 or 15 days means they will have records in hand within that window. That is NOT correct. Here is exactly what the clock does and does not control:</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728"/>
      </w:tblGrid>
      <w:tr w:rsidR="000F7327" w14:paraId="1CCA937E" w14:textId="77777777">
        <w:trPr>
          <w:tblHeader/>
        </w:trPr>
        <w:tc>
          <w:tcPr>
            <w:tcW w:w="3200" w:type="dxa"/>
            <w:shd w:val="clear" w:color="auto" w:fill="1F4E79"/>
            <w:tcMar>
              <w:top w:w="80" w:type="dxa"/>
              <w:left w:w="120" w:type="dxa"/>
              <w:bottom w:w="80" w:type="dxa"/>
              <w:right w:w="120" w:type="dxa"/>
            </w:tcMar>
          </w:tcPr>
          <w:p w14:paraId="57193379" w14:textId="77777777" w:rsidR="000F7327" w:rsidRDefault="00420368">
            <w:r>
              <w:rPr>
                <w:b/>
                <w:bCs/>
                <w:color w:val="FFFFFF"/>
                <w:sz w:val="20"/>
                <w:szCs w:val="20"/>
              </w:rPr>
              <w:t>Question</w:t>
            </w:r>
          </w:p>
        </w:tc>
        <w:tc>
          <w:tcPr>
            <w:tcW w:w="5728" w:type="dxa"/>
            <w:shd w:val="clear" w:color="auto" w:fill="1F4E79"/>
            <w:tcMar>
              <w:top w:w="80" w:type="dxa"/>
              <w:left w:w="120" w:type="dxa"/>
              <w:bottom w:w="80" w:type="dxa"/>
              <w:right w:w="120" w:type="dxa"/>
            </w:tcMar>
          </w:tcPr>
          <w:p w14:paraId="7CD89B4B" w14:textId="77777777" w:rsidR="000F7327" w:rsidRDefault="00420368">
            <w:r>
              <w:rPr>
                <w:b/>
                <w:bCs/>
                <w:color w:val="FFFFFF"/>
                <w:sz w:val="20"/>
                <w:szCs w:val="20"/>
              </w:rPr>
              <w:t>Answer</w:t>
            </w:r>
          </w:p>
        </w:tc>
      </w:tr>
      <w:tr w:rsidR="000F7327" w14:paraId="6EF0AECB" w14:textId="77777777">
        <w:tc>
          <w:tcPr>
            <w:tcW w:w="3200" w:type="dxa"/>
            <w:shd w:val="clear" w:color="auto" w:fill="DEEAF1"/>
            <w:tcMar>
              <w:top w:w="80" w:type="dxa"/>
              <w:left w:w="120" w:type="dxa"/>
              <w:bottom w:w="80" w:type="dxa"/>
              <w:right w:w="120" w:type="dxa"/>
            </w:tcMar>
          </w:tcPr>
          <w:p w14:paraId="22891D5F" w14:textId="77777777" w:rsidR="000F7327" w:rsidRDefault="00420368">
            <w:r>
              <w:rPr>
                <w:b/>
                <w:bCs/>
                <w:sz w:val="20"/>
                <w:szCs w:val="20"/>
              </w:rPr>
              <w:t>Does the 5/15-day clock require FHC to hand over records within 5 or 15 days?</w:t>
            </w:r>
          </w:p>
        </w:tc>
        <w:tc>
          <w:tcPr>
            <w:tcW w:w="5728" w:type="dxa"/>
            <w:shd w:val="clear" w:color="auto" w:fill="DEEAF1"/>
            <w:tcMar>
              <w:top w:w="80" w:type="dxa"/>
              <w:left w:w="120" w:type="dxa"/>
              <w:bottom w:w="80" w:type="dxa"/>
              <w:right w:w="120" w:type="dxa"/>
            </w:tcMar>
          </w:tcPr>
          <w:p w14:paraId="01387BC4" w14:textId="77777777" w:rsidR="000F7327" w:rsidRDefault="00420368">
            <w:r>
              <w:rPr>
                <w:b/>
                <w:bCs/>
                <w:color w:val="C00000"/>
                <w:sz w:val="20"/>
                <w:szCs w:val="20"/>
              </w:rPr>
              <w:t xml:space="preserve">NO. </w:t>
            </w:r>
            <w:r>
              <w:rPr>
                <w:sz w:val="20"/>
                <w:szCs w:val="20"/>
              </w:rPr>
              <w:t>The 5/15-day clock requires FHC to issue a written response only. It does not require records to be produced or released within that window. Michigan FOIA does not impose a deadline for fulfilling a request once a written response has been issued (MCL 15.234(8)).</w:t>
            </w:r>
          </w:p>
        </w:tc>
      </w:tr>
      <w:tr w:rsidR="000F7327" w14:paraId="2536ACFD" w14:textId="77777777">
        <w:tc>
          <w:tcPr>
            <w:tcW w:w="3200" w:type="dxa"/>
            <w:tcMar>
              <w:top w:w="80" w:type="dxa"/>
              <w:left w:w="120" w:type="dxa"/>
              <w:bottom w:w="80" w:type="dxa"/>
              <w:right w:w="120" w:type="dxa"/>
            </w:tcMar>
          </w:tcPr>
          <w:p w14:paraId="226EA27A" w14:textId="77777777" w:rsidR="000F7327" w:rsidRDefault="00420368">
            <w:r>
              <w:rPr>
                <w:b/>
                <w:bCs/>
                <w:sz w:val="20"/>
                <w:szCs w:val="20"/>
              </w:rPr>
              <w:t>Does the clock require FHC to start working on the request within 5 or 15 days?</w:t>
            </w:r>
          </w:p>
        </w:tc>
        <w:tc>
          <w:tcPr>
            <w:tcW w:w="5728" w:type="dxa"/>
            <w:tcMar>
              <w:top w:w="80" w:type="dxa"/>
              <w:left w:w="120" w:type="dxa"/>
              <w:bottom w:w="80" w:type="dxa"/>
              <w:right w:w="120" w:type="dxa"/>
            </w:tcMar>
          </w:tcPr>
          <w:p w14:paraId="095BE396" w14:textId="77777777" w:rsidR="000F7327" w:rsidRDefault="00420368">
            <w:r>
              <w:rPr>
                <w:b/>
                <w:bCs/>
                <w:color w:val="C00000"/>
                <w:sz w:val="20"/>
                <w:szCs w:val="20"/>
              </w:rPr>
              <w:t xml:space="preserve">NO. </w:t>
            </w:r>
            <w:r>
              <w:rPr>
                <w:sz w:val="20"/>
                <w:szCs w:val="20"/>
              </w:rPr>
              <w:t>FHC is not permitted to begin locating, gathering, or reviewing records until the 50% deposit is received, regardless of where the deposit falls relative to the 5 or 15 days. The work clock does not start until the deposit is in hand.</w:t>
            </w:r>
          </w:p>
        </w:tc>
      </w:tr>
      <w:tr w:rsidR="000F7327" w14:paraId="3A6DBA24" w14:textId="77777777">
        <w:tc>
          <w:tcPr>
            <w:tcW w:w="3200" w:type="dxa"/>
            <w:shd w:val="clear" w:color="auto" w:fill="DEEAF1"/>
            <w:tcMar>
              <w:top w:w="80" w:type="dxa"/>
              <w:left w:w="120" w:type="dxa"/>
              <w:bottom w:w="80" w:type="dxa"/>
              <w:right w:w="120" w:type="dxa"/>
            </w:tcMar>
          </w:tcPr>
          <w:p w14:paraId="3D9721EE" w14:textId="77777777" w:rsidR="000F7327" w:rsidRDefault="00420368">
            <w:r>
              <w:rPr>
                <w:b/>
                <w:bCs/>
                <w:sz w:val="20"/>
                <w:szCs w:val="20"/>
              </w:rPr>
              <w:t>Does the clock require FHC to release completed records within 5 or 15 days?</w:t>
            </w:r>
          </w:p>
        </w:tc>
        <w:tc>
          <w:tcPr>
            <w:tcW w:w="5728" w:type="dxa"/>
            <w:shd w:val="clear" w:color="auto" w:fill="DEEAF1"/>
            <w:tcMar>
              <w:top w:w="80" w:type="dxa"/>
              <w:left w:w="120" w:type="dxa"/>
              <w:bottom w:w="80" w:type="dxa"/>
              <w:right w:w="120" w:type="dxa"/>
            </w:tcMar>
          </w:tcPr>
          <w:p w14:paraId="69FD6DE4" w14:textId="77777777" w:rsidR="000F7327" w:rsidRDefault="00420368">
            <w:r>
              <w:rPr>
                <w:b/>
                <w:bCs/>
                <w:color w:val="C00000"/>
                <w:sz w:val="20"/>
                <w:szCs w:val="20"/>
              </w:rPr>
              <w:t xml:space="preserve">NO. </w:t>
            </w:r>
            <w:r>
              <w:rPr>
                <w:sz w:val="20"/>
                <w:szCs w:val="20"/>
              </w:rPr>
              <w:t>FHC will not release any records until the full final balance is paid. The 5/15-day clock has no bearing on record release. Release occurs only after all fees are paid in full, regardless of how much time has passed.</w:t>
            </w:r>
          </w:p>
        </w:tc>
      </w:tr>
      <w:tr w:rsidR="000F7327" w14:paraId="7AB6F4FD" w14:textId="77777777">
        <w:tc>
          <w:tcPr>
            <w:tcW w:w="3200" w:type="dxa"/>
            <w:tcMar>
              <w:top w:w="80" w:type="dxa"/>
              <w:left w:w="120" w:type="dxa"/>
              <w:bottom w:w="80" w:type="dxa"/>
              <w:right w:w="120" w:type="dxa"/>
            </w:tcMar>
          </w:tcPr>
          <w:p w14:paraId="1E8AC9A7" w14:textId="77777777" w:rsidR="000F7327" w:rsidRDefault="00420368">
            <w:proofErr w:type="gramStart"/>
            <w:r>
              <w:rPr>
                <w:b/>
                <w:bCs/>
                <w:sz w:val="20"/>
                <w:szCs w:val="20"/>
              </w:rPr>
              <w:t>So</w:t>
            </w:r>
            <w:proofErr w:type="gramEnd"/>
            <w:r>
              <w:rPr>
                <w:b/>
                <w:bCs/>
                <w:sz w:val="20"/>
                <w:szCs w:val="20"/>
              </w:rPr>
              <w:t xml:space="preserve"> what does the 5/15-day clock </w:t>
            </w:r>
            <w:proofErr w:type="gramStart"/>
            <w:r>
              <w:rPr>
                <w:b/>
                <w:bCs/>
                <w:sz w:val="20"/>
                <w:szCs w:val="20"/>
              </w:rPr>
              <w:t>actually control</w:t>
            </w:r>
            <w:proofErr w:type="gramEnd"/>
            <w:r>
              <w:rPr>
                <w:b/>
                <w:bCs/>
                <w:sz w:val="20"/>
                <w:szCs w:val="20"/>
              </w:rPr>
              <w:t>?</w:t>
            </w:r>
          </w:p>
        </w:tc>
        <w:tc>
          <w:tcPr>
            <w:tcW w:w="5728" w:type="dxa"/>
            <w:tcMar>
              <w:top w:w="80" w:type="dxa"/>
              <w:left w:w="120" w:type="dxa"/>
              <w:bottom w:w="80" w:type="dxa"/>
              <w:right w:w="120" w:type="dxa"/>
            </w:tcMar>
          </w:tcPr>
          <w:p w14:paraId="4D66C596" w14:textId="77777777" w:rsidR="000F7327" w:rsidRDefault="00420368">
            <w:r>
              <w:rPr>
                <w:b/>
                <w:bCs/>
                <w:color w:val="1F4E79"/>
                <w:sz w:val="20"/>
                <w:szCs w:val="20"/>
              </w:rPr>
              <w:t xml:space="preserve">ONE THING ONLY: </w:t>
            </w:r>
            <w:r>
              <w:rPr>
                <w:sz w:val="20"/>
                <w:szCs w:val="20"/>
              </w:rPr>
              <w:t>When FHC must send its written response — in a fee-required case, that means the written fee estimate and deposit notice. Once that notice is sent, FHC has fully satisfied MCL 15.235. Everything that follows — paying the deposit, doing the work, issuing the final invoice, releasing the records — operates on a separate track governed by this policy, not by the 5/15-day statute.</w:t>
            </w:r>
          </w:p>
        </w:tc>
      </w:tr>
      <w:tr w:rsidR="000F7327" w14:paraId="51497882" w14:textId="77777777">
        <w:tc>
          <w:tcPr>
            <w:tcW w:w="3200" w:type="dxa"/>
            <w:shd w:val="clear" w:color="auto" w:fill="FFF2CC"/>
            <w:tcMar>
              <w:top w:w="80" w:type="dxa"/>
              <w:left w:w="120" w:type="dxa"/>
              <w:bottom w:w="80" w:type="dxa"/>
              <w:right w:w="120" w:type="dxa"/>
            </w:tcMar>
          </w:tcPr>
          <w:p w14:paraId="57E18485" w14:textId="77777777" w:rsidR="000F7327" w:rsidRDefault="00420368">
            <w:r>
              <w:rPr>
                <w:b/>
                <w:bCs/>
                <w:sz w:val="20"/>
                <w:szCs w:val="20"/>
              </w:rPr>
              <w:t>Once final payment is made, does FHC get another 15 days to release the records?</w:t>
            </w:r>
          </w:p>
        </w:tc>
        <w:tc>
          <w:tcPr>
            <w:tcW w:w="5728" w:type="dxa"/>
            <w:shd w:val="clear" w:color="auto" w:fill="FFF2CC"/>
            <w:tcMar>
              <w:top w:w="80" w:type="dxa"/>
              <w:left w:w="120" w:type="dxa"/>
              <w:bottom w:w="80" w:type="dxa"/>
              <w:right w:w="120" w:type="dxa"/>
            </w:tcMar>
          </w:tcPr>
          <w:p w14:paraId="01A5D0D7" w14:textId="77777777" w:rsidR="000F7327" w:rsidRDefault="00420368">
            <w:r>
              <w:rPr>
                <w:b/>
                <w:bCs/>
                <w:color w:val="C00000"/>
                <w:sz w:val="20"/>
                <w:szCs w:val="20"/>
              </w:rPr>
              <w:t xml:space="preserve">NO. </w:t>
            </w:r>
            <w:r>
              <w:rPr>
                <w:sz w:val="20"/>
                <w:szCs w:val="20"/>
              </w:rPr>
              <w:t xml:space="preserve">The 5/15-day clock is permanently spent once FHC issues the written fee estimate and deposit notice. It does not reset, restart, or apply again at any later point in the process. Once final payment is received, FHC must release the completed records </w:t>
            </w:r>
            <w:r>
              <w:rPr>
                <w:b/>
                <w:bCs/>
                <w:sz w:val="20"/>
                <w:szCs w:val="20"/>
              </w:rPr>
              <w:t>promptly</w:t>
            </w:r>
            <w:r>
              <w:rPr>
                <w:sz w:val="20"/>
                <w:szCs w:val="20"/>
              </w:rPr>
              <w:t xml:space="preserve"> — guided by the good-faith completion estimate provided in the original fee notice. Holding completed, paid-for records without prompt release is not authorized under this policy and may expose FHC to legal challenge.</w:t>
            </w:r>
          </w:p>
        </w:tc>
      </w:tr>
    </w:tbl>
    <w:p w14:paraId="0AA0FA1C" w14:textId="77777777" w:rsidR="000F7327" w:rsidRDefault="00420368">
      <w:pPr>
        <w:spacing w:before="80" w:after="100"/>
      </w:pPr>
      <w:r>
        <w:rPr>
          <w:i/>
          <w:iCs/>
          <w:sz w:val="19"/>
          <w:szCs w:val="19"/>
        </w:rPr>
        <w:t>In plain terms: the 5/15-day clock is a paperwork deadline, not a records delivery deadline. FHC’s job within those days is to send a written notice. The actual work starts only after the deposit is received, and records are released only after all fees are paid — both entirely within the requestor’s control.</w:t>
      </w:r>
    </w:p>
    <w:p w14:paraId="5CA7ABCF" w14:textId="77777777" w:rsidR="000F7327" w:rsidRDefault="000F7327"/>
    <w:p w14:paraId="27770169" w14:textId="77777777" w:rsidR="000F7327" w:rsidRDefault="00420368">
      <w:pPr>
        <w:pStyle w:val="Heading1"/>
      </w:pPr>
      <w:r>
        <w:t>4</w:t>
      </w:r>
      <w:proofErr w:type="gramStart"/>
      <w:r>
        <w:t>.  Fee</w:t>
      </w:r>
      <w:proofErr w:type="gramEnd"/>
      <w:r>
        <w:t xml:space="preserve"> Schedule (MCL 15.234)</w:t>
      </w:r>
    </w:p>
    <w:p w14:paraId="1B7DF17D" w14:textId="77777777" w:rsidR="000F7327" w:rsidRDefault="00420368">
      <w:pPr>
        <w:spacing w:after="60"/>
      </w:pPr>
      <w:r>
        <w:t>FHC shall charge fees to recover the actual costs of responding to FOIA requests as follows:</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128"/>
      </w:tblGrid>
      <w:tr w:rsidR="000F7327" w14:paraId="19359678" w14:textId="77777777">
        <w:trPr>
          <w:tblHeader/>
        </w:trPr>
        <w:tc>
          <w:tcPr>
            <w:tcW w:w="2800" w:type="dxa"/>
            <w:shd w:val="clear" w:color="auto" w:fill="1F4E79"/>
            <w:tcMar>
              <w:top w:w="80" w:type="dxa"/>
              <w:left w:w="120" w:type="dxa"/>
              <w:bottom w:w="80" w:type="dxa"/>
              <w:right w:w="120" w:type="dxa"/>
            </w:tcMar>
          </w:tcPr>
          <w:p w14:paraId="49A601CE" w14:textId="77777777" w:rsidR="000F7327" w:rsidRDefault="00420368">
            <w:r>
              <w:rPr>
                <w:b/>
                <w:bCs/>
                <w:color w:val="FFFFFF"/>
                <w:sz w:val="20"/>
                <w:szCs w:val="20"/>
              </w:rPr>
              <w:lastRenderedPageBreak/>
              <w:t>Fee Category</w:t>
            </w:r>
          </w:p>
        </w:tc>
        <w:tc>
          <w:tcPr>
            <w:tcW w:w="6128" w:type="dxa"/>
            <w:shd w:val="clear" w:color="auto" w:fill="1F4E79"/>
            <w:tcMar>
              <w:top w:w="80" w:type="dxa"/>
              <w:left w:w="120" w:type="dxa"/>
              <w:bottom w:w="80" w:type="dxa"/>
              <w:right w:w="120" w:type="dxa"/>
            </w:tcMar>
          </w:tcPr>
          <w:p w14:paraId="00A01AED" w14:textId="77777777" w:rsidR="000F7327" w:rsidRDefault="00420368">
            <w:r>
              <w:rPr>
                <w:b/>
                <w:bCs/>
                <w:color w:val="FFFFFF"/>
                <w:sz w:val="20"/>
                <w:szCs w:val="20"/>
              </w:rPr>
              <w:t>Rate / Description</w:t>
            </w:r>
          </w:p>
        </w:tc>
      </w:tr>
      <w:tr w:rsidR="000F7327" w14:paraId="2192BBE1" w14:textId="77777777">
        <w:tc>
          <w:tcPr>
            <w:tcW w:w="2800" w:type="dxa"/>
            <w:shd w:val="clear" w:color="auto" w:fill="DEEAF1"/>
            <w:tcMar>
              <w:top w:w="70" w:type="dxa"/>
              <w:left w:w="120" w:type="dxa"/>
              <w:bottom w:w="70" w:type="dxa"/>
              <w:right w:w="120" w:type="dxa"/>
            </w:tcMar>
          </w:tcPr>
          <w:p w14:paraId="37DA3F0E" w14:textId="77777777" w:rsidR="000F7327" w:rsidRDefault="00420368">
            <w:r>
              <w:rPr>
                <w:sz w:val="20"/>
                <w:szCs w:val="20"/>
              </w:rPr>
              <w:t>Labor</w:t>
            </w:r>
          </w:p>
        </w:tc>
        <w:tc>
          <w:tcPr>
            <w:tcW w:w="6128" w:type="dxa"/>
            <w:shd w:val="clear" w:color="auto" w:fill="DEEAF1"/>
            <w:tcMar>
              <w:top w:w="70" w:type="dxa"/>
              <w:left w:w="120" w:type="dxa"/>
              <w:bottom w:w="70" w:type="dxa"/>
              <w:right w:w="120" w:type="dxa"/>
            </w:tcMar>
          </w:tcPr>
          <w:p w14:paraId="4AB1C9AD" w14:textId="77777777" w:rsidR="000F7327" w:rsidRDefault="00420368">
            <w:r>
              <w:rPr>
                <w:sz w:val="20"/>
                <w:szCs w:val="20"/>
              </w:rPr>
              <w:t>Charged at the current hourly rate of the Executive Assistant to the CEO (the FOIA Coordinator), prorated in 15-minute increments, for all time spent locating, gathering, reviewing, and preparing responsive records.</w:t>
            </w:r>
          </w:p>
        </w:tc>
      </w:tr>
      <w:tr w:rsidR="000F7327" w14:paraId="17569B42" w14:textId="77777777">
        <w:tc>
          <w:tcPr>
            <w:tcW w:w="2800" w:type="dxa"/>
            <w:tcMar>
              <w:top w:w="70" w:type="dxa"/>
              <w:left w:w="120" w:type="dxa"/>
              <w:bottom w:w="70" w:type="dxa"/>
              <w:right w:w="120" w:type="dxa"/>
            </w:tcMar>
          </w:tcPr>
          <w:p w14:paraId="153E6BE6" w14:textId="77777777" w:rsidR="000F7327" w:rsidRDefault="00420368">
            <w:r>
              <w:rPr>
                <w:sz w:val="20"/>
                <w:szCs w:val="20"/>
              </w:rPr>
              <w:t>Copying</w:t>
            </w:r>
          </w:p>
        </w:tc>
        <w:tc>
          <w:tcPr>
            <w:tcW w:w="6128" w:type="dxa"/>
            <w:tcMar>
              <w:top w:w="70" w:type="dxa"/>
              <w:left w:w="120" w:type="dxa"/>
              <w:bottom w:w="70" w:type="dxa"/>
              <w:right w:w="120" w:type="dxa"/>
            </w:tcMar>
          </w:tcPr>
          <w:p w14:paraId="16BE2322" w14:textId="77777777" w:rsidR="000F7327" w:rsidRDefault="00420368">
            <w:r>
              <w:rPr>
                <w:sz w:val="20"/>
                <w:szCs w:val="20"/>
              </w:rPr>
              <w:t>Actual per-page cost of duplication, not to exceed the amount permitted under MCL 15.234.</w:t>
            </w:r>
          </w:p>
        </w:tc>
      </w:tr>
      <w:tr w:rsidR="000F7327" w14:paraId="58FD8BEB" w14:textId="77777777">
        <w:tc>
          <w:tcPr>
            <w:tcW w:w="2800" w:type="dxa"/>
            <w:shd w:val="clear" w:color="auto" w:fill="DEEAF1"/>
            <w:tcMar>
              <w:top w:w="70" w:type="dxa"/>
              <w:left w:w="120" w:type="dxa"/>
              <w:bottom w:w="70" w:type="dxa"/>
              <w:right w:w="120" w:type="dxa"/>
            </w:tcMar>
          </w:tcPr>
          <w:p w14:paraId="708EE686" w14:textId="77777777" w:rsidR="000F7327" w:rsidRDefault="00420368">
            <w:r>
              <w:rPr>
                <w:sz w:val="20"/>
                <w:szCs w:val="20"/>
              </w:rPr>
              <w:t>Digital / Electronic</w:t>
            </w:r>
          </w:p>
        </w:tc>
        <w:tc>
          <w:tcPr>
            <w:tcW w:w="6128" w:type="dxa"/>
            <w:shd w:val="clear" w:color="auto" w:fill="DEEAF1"/>
            <w:tcMar>
              <w:top w:w="70" w:type="dxa"/>
              <w:left w:w="120" w:type="dxa"/>
              <w:bottom w:w="70" w:type="dxa"/>
              <w:right w:w="120" w:type="dxa"/>
            </w:tcMar>
          </w:tcPr>
          <w:p w14:paraId="352EA1AF" w14:textId="77777777" w:rsidR="000F7327" w:rsidRDefault="00420368">
            <w:r>
              <w:rPr>
                <w:sz w:val="20"/>
                <w:szCs w:val="20"/>
              </w:rPr>
              <w:t>Actual cost of digital media or electronic transmission, if applicable.</w:t>
            </w:r>
          </w:p>
        </w:tc>
      </w:tr>
    </w:tbl>
    <w:p w14:paraId="11ED8BF1" w14:textId="77777777" w:rsidR="000F7327" w:rsidRDefault="000F7327">
      <w:pPr>
        <w:spacing w:before="80"/>
      </w:pPr>
    </w:p>
    <w:p w14:paraId="611E60A9" w14:textId="77777777" w:rsidR="000F7327" w:rsidRDefault="00420368">
      <w:pPr>
        <w:pStyle w:val="Heading1"/>
      </w:pPr>
      <w:r>
        <w:t>5</w:t>
      </w:r>
      <w:proofErr w:type="gramStart"/>
      <w:r>
        <w:t>.  Required</w:t>
      </w:r>
      <w:proofErr w:type="gramEnd"/>
      <w:r>
        <w:t xml:space="preserve"> Deposit &amp; Payment Process (MCL 15.234)</w:t>
      </w:r>
    </w:p>
    <w:p w14:paraId="656F1181" w14:textId="77777777" w:rsidR="000F7327" w:rsidRDefault="00420368">
      <w:pPr>
        <w:pBdr>
          <w:top w:val="single" w:sz="4" w:space="4" w:color="C00000"/>
          <w:bottom w:val="single" w:sz="4" w:space="4" w:color="C00000"/>
        </w:pBdr>
        <w:shd w:val="clear" w:color="auto" w:fill="FFF2CC"/>
        <w:spacing w:before="100" w:after="80"/>
        <w:ind w:left="120" w:right="120"/>
      </w:pPr>
      <w:r>
        <w:rPr>
          <w:b/>
          <w:bCs/>
          <w:color w:val="C00000"/>
        </w:rPr>
        <w:t xml:space="preserve">STEP 1 — REQUIRED DEPOSIT (50%): </w:t>
      </w:r>
      <w:r>
        <w:t>A deposit equal to 50% of the estimated total fee is REQUIRED before FHC will begin any work on a FOIA request. Upon receiving a written request, FHC will issue a written fee estimate. No records will be located, gathered, or reviewed until the deposit is received in full. This requirement is authorized under MCL 15.234(2).</w:t>
      </w:r>
    </w:p>
    <w:p w14:paraId="70FF6118" w14:textId="77777777" w:rsidR="000F7327" w:rsidRDefault="00420368">
      <w:pPr>
        <w:pBdr>
          <w:top w:val="single" w:sz="4" w:space="4" w:color="1F4E79"/>
          <w:bottom w:val="single" w:sz="4" w:space="4" w:color="1F4E79"/>
        </w:pBdr>
        <w:shd w:val="clear" w:color="auto" w:fill="EEF3F8"/>
        <w:spacing w:before="100" w:after="80"/>
        <w:ind w:left="120" w:right="120"/>
      </w:pPr>
      <w:r>
        <w:rPr>
          <w:b/>
          <w:bCs/>
          <w:color w:val="1F4E79"/>
        </w:rPr>
        <w:t xml:space="preserve">STEP 2 — FINAL PAYMENT DUE BEFORE RECORDS RELEASED: </w:t>
      </w:r>
      <w:r>
        <w:t>Upon completion of work, FHC will issue a final itemized invoice for any remaining balance owed. The remaining balance (final payment) must be paid in full before any records, copies, or documents will be released to the requestor. FHC will not release records — in whole or in part — until all outstanding fees are paid.</w:t>
      </w:r>
    </w:p>
    <w:p w14:paraId="103CD0C1" w14:textId="77777777" w:rsidR="000F7327" w:rsidRDefault="00420368">
      <w:pPr>
        <w:pBdr>
          <w:top w:val="single" w:sz="4" w:space="4" w:color="595959"/>
          <w:bottom w:val="single" w:sz="4" w:space="4" w:color="595959"/>
        </w:pBdr>
        <w:shd w:val="clear" w:color="auto" w:fill="F2F2F2"/>
        <w:spacing w:before="100" w:after="80"/>
        <w:ind w:left="120" w:right="120"/>
      </w:pPr>
      <w:r>
        <w:rPr>
          <w:b/>
          <w:bCs/>
          <w:color w:val="595959"/>
        </w:rPr>
        <w:t xml:space="preserve">FAILURE TO PAY DEPOSIT — REQUEST ABANDONED: </w:t>
      </w:r>
      <w:r>
        <w:t>If the required 50% deposit is not received within 45 days of FHC’s written fee estimate notice, the FOIA request will be considered abandoned and administratively closed. Written notice of closure will be provided. The requestor must submit a new FOIA request and a new deposit to recommence processing.</w:t>
      </w:r>
    </w:p>
    <w:p w14:paraId="0821397C" w14:textId="77777777" w:rsidR="000F7327" w:rsidRDefault="00420368">
      <w:pPr>
        <w:pBdr>
          <w:top w:val="single" w:sz="4" w:space="4" w:color="595959"/>
          <w:bottom w:val="single" w:sz="4" w:space="4" w:color="595959"/>
        </w:pBdr>
        <w:shd w:val="clear" w:color="auto" w:fill="F2F2F2"/>
        <w:spacing w:before="100" w:after="80"/>
        <w:ind w:left="120" w:right="120"/>
      </w:pPr>
      <w:r>
        <w:rPr>
          <w:b/>
          <w:bCs/>
          <w:color w:val="595959"/>
        </w:rPr>
        <w:t xml:space="preserve">FAILURE TO PAY FINAL BALANCE — RECORDS WITHHELD &amp; FUTURE REQUESTS AFFECTED: </w:t>
      </w:r>
      <w:r>
        <w:t xml:space="preserve">If a requestor fails to pay the final balance within 45 days of FHC’s final invoice, the completed request will be administratively </w:t>
      </w:r>
      <w:proofErr w:type="gramStart"/>
      <w:r>
        <w:t>closed</w:t>
      </w:r>
      <w:proofErr w:type="gramEnd"/>
      <w:r>
        <w:t xml:space="preserve"> and the records will not be released. Additionally, consistent with MCL 15.234(11), if a requestor has an outstanding unpaid balance from any prior FOIA request, FHC reserves the right to require a deposit of up to 100% of the estimated fee before beginning any subsequent FOIA request from that individual.</w:t>
      </w:r>
    </w:p>
    <w:p w14:paraId="7DA6F474" w14:textId="77777777" w:rsidR="000F7327" w:rsidRDefault="00420368">
      <w:pPr>
        <w:spacing w:before="60" w:after="100"/>
      </w:pPr>
      <w:r>
        <w:rPr>
          <w:i/>
          <w:iCs/>
          <w:sz w:val="20"/>
          <w:szCs w:val="20"/>
        </w:rPr>
        <w:t>Fee waivers may be granted at the sole discretion of the FOIA Coordinator per MCL 15.234(4). All fees are uniform and not dependent on the identity of the requesting person.</w:t>
      </w:r>
    </w:p>
    <w:p w14:paraId="08FCFF01" w14:textId="77777777" w:rsidR="000F7327" w:rsidRDefault="00420368">
      <w:pPr>
        <w:pStyle w:val="Heading1"/>
      </w:pPr>
      <w:r>
        <w:t>6</w:t>
      </w:r>
      <w:proofErr w:type="gramStart"/>
      <w:r>
        <w:t>.  No</w:t>
      </w:r>
      <w:proofErr w:type="gramEnd"/>
      <w:r>
        <w:t xml:space="preserve"> Obligation to Create Records (MCL 15.233)</w:t>
      </w:r>
    </w:p>
    <w:p w14:paraId="6CCF7C63" w14:textId="77777777" w:rsidR="000F7327" w:rsidRDefault="00420368">
      <w:pPr>
        <w:spacing w:after="60"/>
      </w:pPr>
      <w:r>
        <w:t xml:space="preserve">FHC is only required to provide access to records that </w:t>
      </w:r>
      <w:r>
        <w:rPr>
          <w:b/>
          <w:bCs/>
        </w:rPr>
        <w:t>already exist</w:t>
      </w:r>
      <w:r>
        <w:t xml:space="preserve">. FHC is </w:t>
      </w:r>
      <w:r>
        <w:rPr>
          <w:b/>
          <w:bCs/>
        </w:rPr>
        <w:t>not required</w:t>
      </w:r>
      <w:r>
        <w:t xml:space="preserve"> to create new records, compile summaries, or perform research in response to a FOIA request. If a requested record does not exist, FHC will notify the requestor in writing.</w:t>
      </w:r>
    </w:p>
    <w:p w14:paraId="6EE3D68D" w14:textId="77777777" w:rsidR="000F7327" w:rsidRDefault="000F7327"/>
    <w:p w14:paraId="35AAD157" w14:textId="77777777" w:rsidR="000F7327" w:rsidRDefault="00420368">
      <w:pPr>
        <w:pStyle w:val="Heading1"/>
      </w:pPr>
      <w:r>
        <w:t>7</w:t>
      </w:r>
      <w:proofErr w:type="gramStart"/>
      <w:r>
        <w:t>.  Right</w:t>
      </w:r>
      <w:proofErr w:type="gramEnd"/>
      <w:r>
        <w:t xml:space="preserve"> to Reject Requests Framed as Questions (MCL 15.233)</w:t>
      </w:r>
    </w:p>
    <w:p w14:paraId="752DC2A8" w14:textId="77777777" w:rsidR="000F7327" w:rsidRDefault="00420368">
      <w:pPr>
        <w:spacing w:after="60"/>
      </w:pPr>
      <w:r>
        <w:t>Michigan FOIA provides access to existing records only — it does not require FHC to answer questions or provide explanations. FHC expressly reserves the right to reject any submission that:</w:t>
      </w:r>
    </w:p>
    <w:p w14:paraId="77918EE1" w14:textId="77777777" w:rsidR="000F7327" w:rsidRDefault="00420368">
      <w:pPr>
        <w:pStyle w:val="ListParagraph"/>
        <w:numPr>
          <w:ilvl w:val="0"/>
          <w:numId w:val="2"/>
        </w:numPr>
      </w:pPr>
      <w:r>
        <w:t>Is framed as a question, interrogatory, or request for an explanation rather than a request for a specific identifiable record;</w:t>
      </w:r>
    </w:p>
    <w:p w14:paraId="262344A7" w14:textId="77777777" w:rsidR="000F7327" w:rsidRDefault="00420368">
      <w:pPr>
        <w:pStyle w:val="ListParagraph"/>
        <w:numPr>
          <w:ilvl w:val="0"/>
          <w:numId w:val="2"/>
        </w:numPr>
      </w:pPr>
      <w:r>
        <w:t>Seeks FHC’s interpretation, opinion, or legal analysis of policies, decisions, or actions;</w:t>
      </w:r>
    </w:p>
    <w:p w14:paraId="320D7856" w14:textId="77777777" w:rsidR="000F7327" w:rsidRDefault="00420368">
      <w:pPr>
        <w:pStyle w:val="ListParagraph"/>
        <w:numPr>
          <w:ilvl w:val="0"/>
          <w:numId w:val="2"/>
        </w:numPr>
      </w:pPr>
      <w:r>
        <w:t>Requests procedural guidance, staff commentary, or narrative responses not contained in an existing record;</w:t>
      </w:r>
    </w:p>
    <w:p w14:paraId="49CE4186" w14:textId="77777777" w:rsidR="000F7327" w:rsidRDefault="00420368">
      <w:pPr>
        <w:pStyle w:val="ListParagraph"/>
        <w:numPr>
          <w:ilvl w:val="0"/>
          <w:numId w:val="2"/>
        </w:numPr>
      </w:pPr>
      <w:proofErr w:type="gramStart"/>
      <w:r>
        <w:t>Cannot</w:t>
      </w:r>
      <w:proofErr w:type="gramEnd"/>
      <w:r>
        <w:t xml:space="preserve"> reasonably be identified as a request for a specific existing public record.</w:t>
      </w:r>
    </w:p>
    <w:p w14:paraId="08B49A0F" w14:textId="77777777" w:rsidR="000F7327" w:rsidRDefault="00420368">
      <w:pPr>
        <w:spacing w:before="60" w:after="100"/>
      </w:pPr>
      <w:r>
        <w:rPr>
          <w:i/>
          <w:iCs/>
        </w:rPr>
        <w:lastRenderedPageBreak/>
        <w:t>When a submission is rejected on this basis, the FOIA Coordinator will notify the requestor in writing, state the reason, and where possible invite resubmission of a properly scoped request.</w:t>
      </w:r>
    </w:p>
    <w:p w14:paraId="1386E5E7" w14:textId="77777777" w:rsidR="000F7327" w:rsidRDefault="00420368">
      <w:pPr>
        <w:pStyle w:val="Heading1"/>
      </w:pPr>
      <w:r>
        <w:t>8</w:t>
      </w:r>
      <w:proofErr w:type="gramStart"/>
      <w:r>
        <w:t>.  Exemptions</w:t>
      </w:r>
      <w:proofErr w:type="gramEnd"/>
      <w:r>
        <w:t xml:space="preserve"> (MCL 15.243)</w:t>
      </w:r>
    </w:p>
    <w:p w14:paraId="392E8817" w14:textId="77777777" w:rsidR="000F7327" w:rsidRDefault="00420368">
      <w:pPr>
        <w:spacing w:after="100"/>
      </w:pPr>
      <w:r>
        <w:t>Records exempt from disclosure under MCL 15.243 will be withheld or redacted. The FOIA Coordinator shall provide a written explanation citing the applicable exemption(s) for any record denied in whole or in part.</w:t>
      </w:r>
    </w:p>
    <w:p w14:paraId="4927A489" w14:textId="77777777" w:rsidR="000F7327" w:rsidRDefault="00420368">
      <w:pPr>
        <w:pStyle w:val="Heading1"/>
      </w:pPr>
      <w:r>
        <w:t>9</w:t>
      </w:r>
      <w:proofErr w:type="gramStart"/>
      <w:r>
        <w:t>.  Appeals</w:t>
      </w:r>
      <w:proofErr w:type="gramEnd"/>
      <w:r>
        <w:t xml:space="preserve"> (MCL 15.240)</w:t>
      </w:r>
    </w:p>
    <w:p w14:paraId="10DFEEDE" w14:textId="77777777" w:rsidR="000F7327" w:rsidRDefault="00420368">
      <w:pPr>
        <w:spacing w:after="140"/>
      </w:pPr>
      <w:r>
        <w:t>A requestor who believes a denial is unlawful may appeal in writing to the FHC CEO within 180 days of the denial. If dissatisfied with the appeal outcome, the requestor may seek judicial review in the appropriate circuit court pursuant to MCL 15.240.</w:t>
      </w:r>
    </w:p>
    <w:p w14:paraId="79DB7EFB" w14:textId="0E24437D" w:rsidR="000F7327" w:rsidRDefault="000F7327">
      <w:pPr>
        <w:pBdr>
          <w:top w:val="single" w:sz="4" w:space="1" w:color="1F4E79"/>
        </w:pBdr>
        <w:spacing w:before="80"/>
      </w:pPr>
    </w:p>
    <w:sectPr w:rsidR="000F7327">
      <w:pgSz w:w="12240" w:h="15840"/>
      <w:pgMar w:top="864" w:right="1152" w:bottom="864" w:left="115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364A5"/>
    <w:multiLevelType w:val="hybridMultilevel"/>
    <w:tmpl w:val="5F8043BC"/>
    <w:lvl w:ilvl="0" w:tplc="DAD82C0A">
      <w:start w:val="1"/>
      <w:numFmt w:val="bullet"/>
      <w:lvlText w:val="●"/>
      <w:lvlJc w:val="left"/>
      <w:pPr>
        <w:ind w:left="720" w:hanging="360"/>
      </w:pPr>
    </w:lvl>
    <w:lvl w:ilvl="1" w:tplc="DF52E1A4">
      <w:start w:val="1"/>
      <w:numFmt w:val="bullet"/>
      <w:lvlText w:val="○"/>
      <w:lvlJc w:val="left"/>
      <w:pPr>
        <w:ind w:left="1440" w:hanging="360"/>
      </w:pPr>
    </w:lvl>
    <w:lvl w:ilvl="2" w:tplc="EA4E3ED4">
      <w:start w:val="1"/>
      <w:numFmt w:val="bullet"/>
      <w:lvlText w:val="■"/>
      <w:lvlJc w:val="left"/>
      <w:pPr>
        <w:ind w:left="2160" w:hanging="360"/>
      </w:pPr>
    </w:lvl>
    <w:lvl w:ilvl="3" w:tplc="96664FDE">
      <w:start w:val="1"/>
      <w:numFmt w:val="bullet"/>
      <w:lvlText w:val="●"/>
      <w:lvlJc w:val="left"/>
      <w:pPr>
        <w:ind w:left="2880" w:hanging="360"/>
      </w:pPr>
    </w:lvl>
    <w:lvl w:ilvl="4" w:tplc="5EECE1AA">
      <w:start w:val="1"/>
      <w:numFmt w:val="bullet"/>
      <w:lvlText w:val="○"/>
      <w:lvlJc w:val="left"/>
      <w:pPr>
        <w:ind w:left="3600" w:hanging="360"/>
      </w:pPr>
    </w:lvl>
    <w:lvl w:ilvl="5" w:tplc="E3F0258C">
      <w:start w:val="1"/>
      <w:numFmt w:val="bullet"/>
      <w:lvlText w:val="■"/>
      <w:lvlJc w:val="left"/>
      <w:pPr>
        <w:ind w:left="4320" w:hanging="360"/>
      </w:pPr>
    </w:lvl>
    <w:lvl w:ilvl="6" w:tplc="F52C4D90">
      <w:start w:val="1"/>
      <w:numFmt w:val="bullet"/>
      <w:lvlText w:val="●"/>
      <w:lvlJc w:val="left"/>
      <w:pPr>
        <w:ind w:left="5040" w:hanging="360"/>
      </w:pPr>
    </w:lvl>
    <w:lvl w:ilvl="7" w:tplc="1ED2E47A">
      <w:start w:val="1"/>
      <w:numFmt w:val="bullet"/>
      <w:lvlText w:val="●"/>
      <w:lvlJc w:val="left"/>
      <w:pPr>
        <w:ind w:left="5760" w:hanging="360"/>
      </w:pPr>
    </w:lvl>
    <w:lvl w:ilvl="8" w:tplc="ABDE107C">
      <w:start w:val="1"/>
      <w:numFmt w:val="bullet"/>
      <w:lvlText w:val="●"/>
      <w:lvlJc w:val="left"/>
      <w:pPr>
        <w:ind w:left="6480" w:hanging="360"/>
      </w:pPr>
    </w:lvl>
  </w:abstractNum>
  <w:abstractNum w:abstractNumId="1" w15:restartNumberingAfterBreak="0">
    <w:nsid w:val="4A4F7F44"/>
    <w:multiLevelType w:val="hybridMultilevel"/>
    <w:tmpl w:val="395291AE"/>
    <w:lvl w:ilvl="0" w:tplc="69A6A4A6">
      <w:start w:val="1"/>
      <w:numFmt w:val="bullet"/>
      <w:lvlText w:val="•"/>
      <w:lvlJc w:val="left"/>
      <w:pPr>
        <w:spacing w:after="50"/>
        <w:ind w:left="540" w:hanging="270"/>
      </w:pPr>
    </w:lvl>
    <w:lvl w:ilvl="1" w:tplc="F73A2890">
      <w:numFmt w:val="decimal"/>
      <w:lvlText w:val=""/>
      <w:lvlJc w:val="left"/>
    </w:lvl>
    <w:lvl w:ilvl="2" w:tplc="65CCCE06">
      <w:numFmt w:val="decimal"/>
      <w:lvlText w:val=""/>
      <w:lvlJc w:val="left"/>
    </w:lvl>
    <w:lvl w:ilvl="3" w:tplc="6628A0AE">
      <w:numFmt w:val="decimal"/>
      <w:lvlText w:val=""/>
      <w:lvlJc w:val="left"/>
    </w:lvl>
    <w:lvl w:ilvl="4" w:tplc="CBDC4C18">
      <w:numFmt w:val="decimal"/>
      <w:lvlText w:val=""/>
      <w:lvlJc w:val="left"/>
    </w:lvl>
    <w:lvl w:ilvl="5" w:tplc="CC30C962">
      <w:numFmt w:val="decimal"/>
      <w:lvlText w:val=""/>
      <w:lvlJc w:val="left"/>
    </w:lvl>
    <w:lvl w:ilvl="6" w:tplc="47AE60E2">
      <w:numFmt w:val="decimal"/>
      <w:lvlText w:val=""/>
      <w:lvlJc w:val="left"/>
    </w:lvl>
    <w:lvl w:ilvl="7" w:tplc="331E5644">
      <w:numFmt w:val="decimal"/>
      <w:lvlText w:val=""/>
      <w:lvlJc w:val="left"/>
    </w:lvl>
    <w:lvl w:ilvl="8" w:tplc="0AF6FA02">
      <w:numFmt w:val="decimal"/>
      <w:lvlText w:val=""/>
      <w:lvlJc w:val="left"/>
    </w:lvl>
  </w:abstractNum>
  <w:num w:numId="1" w16cid:durableId="36591999">
    <w:abstractNumId w:val="0"/>
    <w:lvlOverride w:ilvl="0">
      <w:startOverride w:val="1"/>
    </w:lvlOverride>
  </w:num>
  <w:num w:numId="2" w16cid:durableId="10567348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327"/>
    <w:rsid w:val="00004722"/>
    <w:rsid w:val="000F7327"/>
    <w:rsid w:val="00420368"/>
    <w:rsid w:val="00564AF8"/>
    <w:rsid w:val="00854C22"/>
    <w:rsid w:val="0087076D"/>
    <w:rsid w:val="00BD6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AA9B"/>
  <w15:docId w15:val="{39ED4EC9-5DB2-49E8-8658-DE400F34E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60" w:after="70"/>
      <w:outlineLvl w:val="0"/>
    </w:pPr>
    <w:rPr>
      <w:b/>
      <w:bCs/>
      <w:color w:val="1F4E79"/>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1619</Words>
  <Characters>8420</Characters>
  <Application>Microsoft Office Word</Application>
  <DocSecurity>0</DocSecurity>
  <Lines>187</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Mikala Terry</cp:lastModifiedBy>
  <cp:revision>2</cp:revision>
  <dcterms:created xsi:type="dcterms:W3CDTF">2026-08-12T20:22:00Z</dcterms:created>
  <dcterms:modified xsi:type="dcterms:W3CDTF">2026-08-12T20:22:00Z</dcterms:modified>
</cp:coreProperties>
</file>