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8DD71" w14:textId="77777777" w:rsidR="00E55B51" w:rsidRDefault="004D61F9">
      <w:pPr>
        <w:spacing w:after="60"/>
        <w:jc w:val="center"/>
      </w:pPr>
      <w:r>
        <w:rPr>
          <w:rFonts w:ascii="Calibri" w:eastAsia="Calibri" w:hAnsi="Calibri" w:cs="Calibri"/>
          <w:b/>
          <w:bCs/>
          <w:color w:val="1F3864"/>
          <w:spacing w:val="30"/>
          <w:sz w:val="24"/>
          <w:szCs w:val="24"/>
        </w:rPr>
        <w:t>FLINT HOUSING COMMISSION</w:t>
      </w:r>
    </w:p>
    <w:p w14:paraId="0C443F3A" w14:textId="77777777" w:rsidR="00E55B51" w:rsidRDefault="004D61F9">
      <w:pPr>
        <w:spacing w:after="40"/>
        <w:jc w:val="center"/>
      </w:pPr>
      <w:r>
        <w:rPr>
          <w:rFonts w:ascii="Calibri" w:eastAsia="Calibri" w:hAnsi="Calibri" w:cs="Calibri"/>
          <w:b/>
          <w:bCs/>
          <w:sz w:val="34"/>
          <w:szCs w:val="34"/>
        </w:rPr>
        <w:t>Request for Proposals</w:t>
      </w:r>
    </w:p>
    <w:p w14:paraId="313A3B42" w14:textId="77777777" w:rsidR="00E55B51" w:rsidRDefault="004D61F9">
      <w:pPr>
        <w:pBdr>
          <w:bottom w:val="single" w:sz="8" w:space="8" w:color="1F3864"/>
        </w:pBdr>
        <w:spacing w:after="180"/>
        <w:jc w:val="center"/>
      </w:pPr>
      <w:r>
        <w:rPr>
          <w:rFonts w:ascii="Calibri" w:eastAsia="Calibri" w:hAnsi="Calibri" w:cs="Calibri"/>
          <w:color w:val="444444"/>
          <w:sz w:val="24"/>
          <w:szCs w:val="24"/>
        </w:rPr>
        <w:t>2025-10  |  Project-Based Voucher &amp; Faircloth Partnerships</w:t>
      </w:r>
    </w:p>
    <w:p w14:paraId="22002CBE" w14:textId="77777777" w:rsidR="00E55B51" w:rsidRDefault="004D61F9">
      <w:pPr>
        <w:spacing w:after="50" w:line="264" w:lineRule="auto"/>
      </w:pPr>
      <w:r>
        <w:rPr>
          <w:rFonts w:ascii="Calibri" w:eastAsia="Calibri" w:hAnsi="Calibri" w:cs="Calibri"/>
          <w:b/>
          <w:bCs/>
          <w:sz w:val="22"/>
          <w:szCs w:val="22"/>
        </w:rPr>
        <w:t xml:space="preserve">Issued by: </w:t>
      </w:r>
      <w:r>
        <w:rPr>
          <w:rFonts w:ascii="Calibri" w:eastAsia="Calibri" w:hAnsi="Calibri" w:cs="Calibri"/>
          <w:sz w:val="22"/>
          <w:szCs w:val="22"/>
        </w:rPr>
        <w:t>Flint Housing Commission</w:t>
      </w:r>
    </w:p>
    <w:p w14:paraId="7BC13FB9" w14:textId="77777777" w:rsidR="00E55B51" w:rsidRDefault="004D61F9">
      <w:pPr>
        <w:spacing w:after="50" w:line="264" w:lineRule="auto"/>
      </w:pPr>
      <w:r>
        <w:rPr>
          <w:rFonts w:ascii="Calibri" w:eastAsia="Calibri" w:hAnsi="Calibri" w:cs="Calibri"/>
          <w:b/>
          <w:bCs/>
          <w:sz w:val="22"/>
          <w:szCs w:val="22"/>
        </w:rPr>
        <w:t xml:space="preserve">Proposal Due Date: </w:t>
      </w:r>
      <w:r>
        <w:rPr>
          <w:rFonts w:ascii="Calibri" w:eastAsia="Calibri" w:hAnsi="Calibri" w:cs="Calibri"/>
          <w:sz w:val="22"/>
          <w:szCs w:val="22"/>
        </w:rPr>
        <w:t>Ongoing until closed</w:t>
      </w:r>
    </w:p>
    <w:p w14:paraId="3FB6A015" w14:textId="77777777" w:rsidR="00E55B51" w:rsidRDefault="004D61F9">
      <w:pPr>
        <w:spacing w:after="200" w:line="264" w:lineRule="auto"/>
      </w:pPr>
      <w:r>
        <w:rPr>
          <w:rFonts w:ascii="Calibri" w:eastAsia="Calibri" w:hAnsi="Calibri" w:cs="Calibri"/>
          <w:sz w:val="22"/>
          <w:szCs w:val="22"/>
        </w:rPr>
        <w:t>The Flint Housing Commission (FHC) seeks proposals from developers, partners, and individuals interested in collaborating on Project-Based Voucher (PBV) projects and on new development under the Commission’s Faircloth authority. This opportunity aims to expand and enhance affordable housing in our community.</w:t>
      </w:r>
    </w:p>
    <w:p w14:paraId="5C28137A" w14:textId="77777777" w:rsidR="00E55B51" w:rsidRDefault="004D61F9">
      <w:pPr>
        <w:pStyle w:val="Heading1"/>
        <w:spacing w:before="200" w:after="100"/>
      </w:pPr>
      <w:r>
        <w:rPr>
          <w:rFonts w:ascii="Calibri" w:eastAsia="Calibri" w:hAnsi="Calibri" w:cs="Calibri"/>
          <w:b/>
          <w:bCs/>
          <w:color w:val="1F3864"/>
          <w:sz w:val="26"/>
          <w:szCs w:val="26"/>
        </w:rPr>
        <w:t>Key Details</w:t>
      </w:r>
    </w:p>
    <w:p w14:paraId="088024F6" w14:textId="77777777" w:rsidR="00E55B51" w:rsidRDefault="004D61F9">
      <w:pPr>
        <w:pStyle w:val="ListParagraph"/>
        <w:numPr>
          <w:ilvl w:val="0"/>
          <w:numId w:val="2"/>
        </w:numPr>
        <w:spacing w:after="60" w:line="264" w:lineRule="auto"/>
      </w:pPr>
      <w:r>
        <w:rPr>
          <w:rFonts w:ascii="Calibri" w:eastAsia="Calibri" w:hAnsi="Calibri" w:cs="Calibri"/>
          <w:sz w:val="22"/>
          <w:szCs w:val="22"/>
        </w:rPr>
        <w:t>Leverage Project-Based Vouchers to provide affordable units</w:t>
      </w:r>
    </w:p>
    <w:p w14:paraId="3716AB96" w14:textId="77777777" w:rsidR="00C67BE6" w:rsidRDefault="00A50A0A">
      <w:pPr>
        <w:pStyle w:val="ListParagraph"/>
        <w:numPr>
          <w:ilvl w:val="0"/>
          <w:numId w:val="2"/>
        </w:numPr>
        <w:spacing w:after="60" w:line="264" w:lineRule="auto"/>
      </w:pPr>
      <w:r>
        <w:rPr>
          <w:rFonts w:ascii="Calibri" w:eastAsia="Calibri" w:hAnsi="Calibri" w:cs="Calibri"/>
          <w:sz w:val="22"/>
          <w:szCs w:val="22"/>
        </w:rPr>
        <w:t>Develop new units under the Commission’s available Faircloth authority</w:t>
      </w:r>
    </w:p>
    <w:p w14:paraId="7BC1787F" w14:textId="77777777" w:rsidR="00E55B51" w:rsidRDefault="004D61F9">
      <w:pPr>
        <w:pStyle w:val="ListParagraph"/>
        <w:numPr>
          <w:ilvl w:val="0"/>
          <w:numId w:val="2"/>
        </w:numPr>
        <w:spacing w:after="60" w:line="264" w:lineRule="auto"/>
      </w:pPr>
      <w:r>
        <w:rPr>
          <w:rFonts w:ascii="Calibri" w:eastAsia="Calibri" w:hAnsi="Calibri" w:cs="Calibri"/>
          <w:sz w:val="22"/>
          <w:szCs w:val="22"/>
        </w:rPr>
        <w:t>Collaborate with FHC on quality housing developments</w:t>
      </w:r>
    </w:p>
    <w:p w14:paraId="4838ACA1" w14:textId="77777777" w:rsidR="00E55B51" w:rsidRDefault="004D61F9">
      <w:pPr>
        <w:pStyle w:val="ListParagraph"/>
        <w:numPr>
          <w:ilvl w:val="0"/>
          <w:numId w:val="2"/>
        </w:numPr>
        <w:spacing w:after="60" w:line="264" w:lineRule="auto"/>
      </w:pPr>
      <w:r>
        <w:rPr>
          <w:rFonts w:ascii="Calibri" w:eastAsia="Calibri" w:hAnsi="Calibri" w:cs="Calibri"/>
          <w:sz w:val="22"/>
          <w:szCs w:val="22"/>
        </w:rPr>
        <w:t>Proposals that include a soft commitment will be given priority consideration</w:t>
      </w:r>
    </w:p>
    <w:p w14:paraId="41436625" w14:textId="77777777" w:rsidR="00E55B51" w:rsidRDefault="004D61F9">
      <w:pPr>
        <w:pStyle w:val="ListParagraph"/>
        <w:numPr>
          <w:ilvl w:val="0"/>
          <w:numId w:val="2"/>
        </w:numPr>
        <w:spacing w:after="60" w:line="264" w:lineRule="auto"/>
      </w:pPr>
      <w:r>
        <w:rPr>
          <w:rFonts w:ascii="Calibri" w:eastAsia="Calibri" w:hAnsi="Calibri" w:cs="Calibri"/>
          <w:sz w:val="22"/>
          <w:szCs w:val="22"/>
        </w:rPr>
        <w:t>A fee share to the Flint Housing Commission is required</w:t>
      </w:r>
    </w:p>
    <w:p w14:paraId="51B2621F" w14:textId="77777777" w:rsidR="00C67BE6" w:rsidRDefault="00A50A0A">
      <w:pPr>
        <w:pStyle w:val="Heading1"/>
        <w:spacing w:before="200" w:after="100"/>
      </w:pPr>
      <w:r>
        <w:rPr>
          <w:rFonts w:ascii="Calibri" w:eastAsia="Calibri" w:hAnsi="Calibri" w:cs="Calibri"/>
          <w:b/>
          <w:bCs/>
          <w:color w:val="1F3864"/>
          <w:sz w:val="26"/>
          <w:szCs w:val="26"/>
        </w:rPr>
        <w:t>Faircloth Authority</w:t>
      </w:r>
    </w:p>
    <w:p w14:paraId="436B2072" w14:textId="43D3D6F6" w:rsidR="00C67BE6" w:rsidRDefault="00A50A0A">
      <w:pPr>
        <w:spacing w:after="100" w:line="264" w:lineRule="auto"/>
      </w:pPr>
      <w:r>
        <w:rPr>
          <w:rFonts w:ascii="Calibri" w:eastAsia="Calibri" w:hAnsi="Calibri" w:cs="Calibri"/>
          <w:sz w:val="22"/>
          <w:szCs w:val="22"/>
        </w:rPr>
        <w:t xml:space="preserve">In addition to Project-Based Voucher opportunities, the Commission is interested in proposals that make use of its Faircloth </w:t>
      </w:r>
      <w:proofErr w:type="gramStart"/>
      <w:r>
        <w:rPr>
          <w:rFonts w:ascii="Calibri" w:eastAsia="Calibri" w:hAnsi="Calibri" w:cs="Calibri"/>
          <w:sz w:val="22"/>
          <w:szCs w:val="22"/>
        </w:rPr>
        <w:t>authority</w:t>
      </w:r>
      <w:proofErr w:type="gramEnd"/>
      <w:r>
        <w:rPr>
          <w:rFonts w:ascii="Calibri" w:eastAsia="Calibri" w:hAnsi="Calibri" w:cs="Calibri"/>
          <w:sz w:val="22"/>
          <w:szCs w:val="22"/>
        </w:rPr>
        <w:t xml:space="preserve"> the number of additional units FHC remains eligible to develop. Proposals under this category may involve:</w:t>
      </w:r>
    </w:p>
    <w:p w14:paraId="7FC87F71" w14:textId="77777777" w:rsidR="00C67BE6" w:rsidRDefault="00A50A0A">
      <w:pPr>
        <w:pStyle w:val="ListParagraph"/>
        <w:numPr>
          <w:ilvl w:val="0"/>
          <w:numId w:val="2"/>
        </w:numPr>
        <w:spacing w:after="60" w:line="264" w:lineRule="auto"/>
      </w:pPr>
      <w:r>
        <w:rPr>
          <w:rFonts w:ascii="Calibri" w:eastAsia="Calibri" w:hAnsi="Calibri" w:cs="Calibri"/>
          <w:sz w:val="22"/>
          <w:szCs w:val="22"/>
        </w:rPr>
        <w:t>New construction or acquisition of units within FHC’s available Faircloth authority</w:t>
      </w:r>
    </w:p>
    <w:p w14:paraId="49CDFD93" w14:textId="77777777" w:rsidR="00C67BE6" w:rsidRDefault="00A50A0A">
      <w:pPr>
        <w:pStyle w:val="ListParagraph"/>
        <w:numPr>
          <w:ilvl w:val="0"/>
          <w:numId w:val="2"/>
        </w:numPr>
        <w:spacing w:after="60" w:line="264" w:lineRule="auto"/>
      </w:pPr>
      <w:r>
        <w:rPr>
          <w:rFonts w:ascii="Calibri" w:eastAsia="Calibri" w:hAnsi="Calibri" w:cs="Calibri"/>
          <w:sz w:val="22"/>
          <w:szCs w:val="22"/>
        </w:rPr>
        <w:t>Mixed-finance structures, including Low-Income Housing Tax Credits and other public or private sources</w:t>
      </w:r>
    </w:p>
    <w:p w14:paraId="7E85BD0D" w14:textId="77777777" w:rsidR="00C67BE6" w:rsidRDefault="00A50A0A">
      <w:pPr>
        <w:pStyle w:val="ListParagraph"/>
        <w:numPr>
          <w:ilvl w:val="0"/>
          <w:numId w:val="2"/>
        </w:numPr>
        <w:spacing w:after="60" w:line="264" w:lineRule="auto"/>
      </w:pPr>
      <w:r>
        <w:rPr>
          <w:rFonts w:ascii="Calibri" w:eastAsia="Calibri" w:hAnsi="Calibri" w:cs="Calibri"/>
          <w:sz w:val="22"/>
          <w:szCs w:val="22"/>
        </w:rPr>
        <w:t>Developments that combine Faircloth units and Project-Based Vouchers within a single project</w:t>
      </w:r>
    </w:p>
    <w:p w14:paraId="6BB294F4" w14:textId="77777777" w:rsidR="00C67BE6" w:rsidRDefault="00A50A0A">
      <w:pPr>
        <w:spacing w:after="120" w:line="264" w:lineRule="auto"/>
      </w:pPr>
      <w:r>
        <w:rPr>
          <w:rFonts w:ascii="Calibri" w:eastAsia="Calibri" w:hAnsi="Calibri" w:cs="Calibri"/>
          <w:sz w:val="22"/>
          <w:szCs w:val="22"/>
        </w:rPr>
        <w:t>Respondents should indicate the number of units contemplated and the proposed financing structure. All Faircloth development is subject to HUD approval, applicable mixed-finance requirements, and the amount of Faircloth authority available at the time of the proposal.</w:t>
      </w:r>
    </w:p>
    <w:p w14:paraId="3D0950F2" w14:textId="77777777" w:rsidR="00E55B51" w:rsidRDefault="004D61F9">
      <w:pPr>
        <w:pStyle w:val="Heading1"/>
        <w:spacing w:before="200" w:after="100"/>
      </w:pPr>
      <w:r>
        <w:rPr>
          <w:rFonts w:ascii="Calibri" w:eastAsia="Calibri" w:hAnsi="Calibri" w:cs="Calibri"/>
          <w:b/>
          <w:bCs/>
          <w:color w:val="1F3864"/>
          <w:sz w:val="26"/>
          <w:szCs w:val="26"/>
        </w:rPr>
        <w:t>Commission Participation</w:t>
      </w:r>
    </w:p>
    <w:p w14:paraId="29733AF1" w14:textId="77777777" w:rsidR="00E55B51" w:rsidRDefault="004D61F9">
      <w:pPr>
        <w:spacing w:after="100" w:line="264" w:lineRule="auto"/>
      </w:pPr>
      <w:r>
        <w:rPr>
          <w:rFonts w:ascii="Calibri" w:eastAsia="Calibri" w:hAnsi="Calibri" w:cs="Calibri"/>
          <w:sz w:val="22"/>
          <w:szCs w:val="22"/>
        </w:rPr>
        <w:t>The Flint Housing Commission is a not-for-profit entity and may itself participate in a proposed development in a capacity beyond the administration of Project-Based Vouchers or Faircloth units. Depending on the project, FHC involvement may include:</w:t>
      </w:r>
    </w:p>
    <w:p w14:paraId="44A90006" w14:textId="77777777" w:rsidR="00E55B51" w:rsidRDefault="004D61F9">
      <w:pPr>
        <w:pStyle w:val="ListParagraph"/>
        <w:numPr>
          <w:ilvl w:val="0"/>
          <w:numId w:val="2"/>
        </w:numPr>
        <w:spacing w:after="60" w:line="264" w:lineRule="auto"/>
      </w:pPr>
      <w:r>
        <w:rPr>
          <w:rFonts w:ascii="Calibri" w:eastAsia="Calibri" w:hAnsi="Calibri" w:cs="Calibri"/>
          <w:sz w:val="22"/>
          <w:szCs w:val="22"/>
        </w:rPr>
        <w:t>Participation as an ownership or equity partner</w:t>
      </w:r>
    </w:p>
    <w:p w14:paraId="2272C32B" w14:textId="77777777" w:rsidR="00E55B51" w:rsidRDefault="004D61F9">
      <w:pPr>
        <w:pStyle w:val="ListParagraph"/>
        <w:numPr>
          <w:ilvl w:val="0"/>
          <w:numId w:val="2"/>
        </w:numPr>
        <w:spacing w:after="60" w:line="264" w:lineRule="auto"/>
      </w:pPr>
      <w:r>
        <w:rPr>
          <w:rFonts w:ascii="Calibri" w:eastAsia="Calibri" w:hAnsi="Calibri" w:cs="Calibri"/>
          <w:sz w:val="22"/>
          <w:szCs w:val="22"/>
        </w:rPr>
        <w:t>Service as a co-developer</w:t>
      </w:r>
    </w:p>
    <w:p w14:paraId="27B60C0F" w14:textId="77777777" w:rsidR="00E55B51" w:rsidRDefault="004D61F9">
      <w:pPr>
        <w:pStyle w:val="ListParagraph"/>
        <w:numPr>
          <w:ilvl w:val="0"/>
          <w:numId w:val="2"/>
        </w:numPr>
        <w:spacing w:after="60" w:line="264" w:lineRule="auto"/>
      </w:pPr>
      <w:r>
        <w:rPr>
          <w:rFonts w:ascii="Calibri" w:eastAsia="Calibri" w:hAnsi="Calibri" w:cs="Calibri"/>
          <w:sz w:val="22"/>
          <w:szCs w:val="22"/>
        </w:rPr>
        <w:t>Contribution of land or existing property</w:t>
      </w:r>
    </w:p>
    <w:p w14:paraId="0DF96136" w14:textId="77777777" w:rsidR="00E55B51" w:rsidRDefault="004D61F9">
      <w:pPr>
        <w:pStyle w:val="ListParagraph"/>
        <w:numPr>
          <w:ilvl w:val="0"/>
          <w:numId w:val="2"/>
        </w:numPr>
        <w:spacing w:after="60" w:line="264" w:lineRule="auto"/>
      </w:pPr>
      <w:r>
        <w:rPr>
          <w:rFonts w:ascii="Calibri" w:eastAsia="Calibri" w:hAnsi="Calibri" w:cs="Calibri"/>
          <w:sz w:val="22"/>
          <w:szCs w:val="22"/>
        </w:rPr>
        <w:t>Other partnership roles as mutually agreed</w:t>
      </w:r>
    </w:p>
    <w:p w14:paraId="33130C37" w14:textId="77777777" w:rsidR="00E55B51" w:rsidRDefault="004D61F9">
      <w:pPr>
        <w:spacing w:after="120" w:line="264" w:lineRule="auto"/>
      </w:pPr>
      <w:r>
        <w:rPr>
          <w:rFonts w:ascii="Calibri" w:eastAsia="Calibri" w:hAnsi="Calibri" w:cs="Calibri"/>
          <w:sz w:val="22"/>
          <w:szCs w:val="22"/>
        </w:rPr>
        <w:lastRenderedPageBreak/>
        <w:t>Respondents are encouraged to indicate whether, and in what capacity, they envision FHC participating in the proposed development. The nature and extent of any such involvement is subject to negotiation.</w:t>
      </w:r>
    </w:p>
    <w:p w14:paraId="7CC86B46" w14:textId="77777777" w:rsidR="00E55B51" w:rsidRDefault="004D61F9">
      <w:pPr>
        <w:pStyle w:val="Heading1"/>
        <w:spacing w:before="200" w:after="100"/>
      </w:pPr>
      <w:r>
        <w:rPr>
          <w:rFonts w:ascii="Calibri" w:eastAsia="Calibri" w:hAnsi="Calibri" w:cs="Calibri"/>
          <w:b/>
          <w:bCs/>
          <w:color w:val="1F3864"/>
          <w:sz w:val="26"/>
          <w:szCs w:val="26"/>
        </w:rPr>
        <w:t>Negotiable Terms</w:t>
      </w:r>
    </w:p>
    <w:p w14:paraId="2FC85FB5" w14:textId="77777777" w:rsidR="00E55B51" w:rsidRDefault="004D61F9">
      <w:pPr>
        <w:spacing w:after="120" w:line="264" w:lineRule="auto"/>
      </w:pPr>
      <w:r>
        <w:rPr>
          <w:rFonts w:ascii="Calibri" w:eastAsia="Calibri" w:hAnsi="Calibri" w:cs="Calibri"/>
          <w:sz w:val="22"/>
          <w:szCs w:val="22"/>
        </w:rPr>
        <w:t>The items listed above reflect the Commission’s baseline expectations and are not intended to be exhaustive. While a fee share to the Flint Housing Commission is required, the structure and amount of that fee share along with other terms of the partnership may be negotiated between the Commission and the respondent. Additional items may also be negotiated at the time of proposal, at closing, or over the life of the project as the needs of the Commission and the development evolve.</w:t>
      </w:r>
    </w:p>
    <w:p w14:paraId="46347314" w14:textId="30EA66F9" w:rsidR="006968A7" w:rsidRPr="00E316A2" w:rsidRDefault="004D61F9" w:rsidP="00E316A2">
      <w:pPr>
        <w:spacing w:after="120" w:line="264" w:lineRule="auto"/>
      </w:pPr>
      <w:r>
        <w:rPr>
          <w:rFonts w:ascii="Calibri" w:eastAsia="Calibri" w:hAnsi="Calibri" w:cs="Calibri"/>
          <w:sz w:val="22"/>
          <w:szCs w:val="22"/>
        </w:rPr>
        <w:t>The Flint Housing Commission reserves the right to accept or reject any proposal. Proposals will be accepted on an ongoing basis until closed at the discretion of the Commission.</w:t>
      </w:r>
    </w:p>
    <w:p w14:paraId="652F9B15" w14:textId="77777777" w:rsidR="00E55B51" w:rsidRDefault="004D61F9">
      <w:pPr>
        <w:pStyle w:val="Heading1"/>
        <w:spacing w:before="200" w:after="100"/>
      </w:pPr>
      <w:r>
        <w:rPr>
          <w:rFonts w:ascii="Calibri" w:eastAsia="Calibri" w:hAnsi="Calibri" w:cs="Calibri"/>
          <w:b/>
          <w:bCs/>
          <w:color w:val="1F3864"/>
          <w:sz w:val="26"/>
          <w:szCs w:val="26"/>
        </w:rPr>
        <w:t>Additional Information</w:t>
      </w:r>
    </w:p>
    <w:p w14:paraId="6E5D6625" w14:textId="77777777" w:rsidR="00E55B51" w:rsidRDefault="004D61F9">
      <w:pPr>
        <w:spacing w:after="100" w:line="264" w:lineRule="auto"/>
      </w:pPr>
      <w:r>
        <w:rPr>
          <w:rFonts w:ascii="Calibri" w:eastAsia="Calibri" w:hAnsi="Calibri" w:cs="Calibri"/>
          <w:sz w:val="22"/>
          <w:szCs w:val="22"/>
        </w:rPr>
        <w:t>For questions about this RFP, please contact:</w:t>
      </w:r>
    </w:p>
    <w:p w14:paraId="10247A67" w14:textId="77777777" w:rsidR="00E55B51" w:rsidRDefault="004D61F9">
      <w:pPr>
        <w:spacing w:after="40"/>
        <w:rPr>
          <w:rFonts w:ascii="Calibri" w:eastAsia="Calibri" w:hAnsi="Calibri" w:cs="Calibri"/>
          <w:b/>
          <w:bCs/>
          <w:sz w:val="22"/>
          <w:szCs w:val="22"/>
        </w:rPr>
      </w:pPr>
      <w:r>
        <w:rPr>
          <w:rFonts w:ascii="Calibri" w:eastAsia="Calibri" w:hAnsi="Calibri" w:cs="Calibri"/>
          <w:b/>
          <w:bCs/>
          <w:sz w:val="22"/>
          <w:szCs w:val="22"/>
        </w:rPr>
        <w:t>David A. Northern, Sr.</w:t>
      </w:r>
    </w:p>
    <w:p w14:paraId="627876B1" w14:textId="77777777" w:rsidR="006968A7" w:rsidRDefault="006968A7">
      <w:pPr>
        <w:spacing w:after="40"/>
      </w:pPr>
      <w:r>
        <w:rPr>
          <w:noProof/>
        </w:rPr>
        <w:drawing>
          <wp:inline distT="0" distB="0" distL="0" distR="0" wp14:anchorId="652DFEFB" wp14:editId="122C5F57">
            <wp:extent cx="5943600" cy="168910"/>
            <wp:effectExtent l="0" t="0" r="0" b="0"/>
            <wp:docPr id="329851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68910"/>
                    </a:xfrm>
                    <a:prstGeom prst="rect">
                      <a:avLst/>
                    </a:prstGeom>
                    <a:noFill/>
                    <a:ln>
                      <a:noFill/>
                    </a:ln>
                  </pic:spPr>
                </pic:pic>
              </a:graphicData>
            </a:graphic>
          </wp:inline>
        </w:drawing>
      </w:r>
    </w:p>
    <w:p w14:paraId="426E43C2" w14:textId="77777777" w:rsidR="00E55B51" w:rsidRDefault="004D61F9">
      <w:pPr>
        <w:spacing w:after="120" w:line="264" w:lineRule="auto"/>
      </w:pPr>
      <w:r>
        <w:rPr>
          <w:rFonts w:ascii="Calibri" w:eastAsia="Calibri" w:hAnsi="Calibri" w:cs="Calibri"/>
          <w:sz w:val="22"/>
          <w:szCs w:val="22"/>
        </w:rPr>
        <w:t>Dnorthern@flinthc.org</w:t>
      </w:r>
    </w:p>
    <w:p w14:paraId="1B2A530E" w14:textId="77777777" w:rsidR="00E55B51" w:rsidRDefault="004D61F9">
      <w:pPr>
        <w:pStyle w:val="Heading1"/>
        <w:spacing w:before="200" w:after="100"/>
      </w:pPr>
      <w:r>
        <w:rPr>
          <w:rFonts w:ascii="Calibri" w:eastAsia="Calibri" w:hAnsi="Calibri" w:cs="Calibri"/>
          <w:b/>
          <w:bCs/>
          <w:color w:val="1F3864"/>
          <w:sz w:val="26"/>
          <w:szCs w:val="26"/>
        </w:rPr>
        <w:t>Submission Details</w:t>
      </w:r>
    </w:p>
    <w:p w14:paraId="41C0F0F0" w14:textId="77777777" w:rsidR="00E55B51" w:rsidRDefault="004D61F9">
      <w:pPr>
        <w:spacing w:after="100" w:line="264" w:lineRule="auto"/>
      </w:pPr>
      <w:r>
        <w:rPr>
          <w:rFonts w:ascii="Calibri" w:eastAsia="Calibri" w:hAnsi="Calibri" w:cs="Calibri"/>
          <w:sz w:val="22"/>
          <w:szCs w:val="22"/>
        </w:rPr>
        <w:t>Interested candidates may submit proposals electronically or in hard copy to:</w:t>
      </w:r>
    </w:p>
    <w:p w14:paraId="21E81183" w14:textId="77777777" w:rsidR="00E55B51" w:rsidRDefault="004D61F9">
      <w:pPr>
        <w:spacing w:after="40"/>
        <w:rPr>
          <w:rFonts w:ascii="Calibri" w:eastAsia="Calibri" w:hAnsi="Calibri" w:cs="Calibri"/>
          <w:b/>
          <w:bCs/>
          <w:sz w:val="22"/>
          <w:szCs w:val="22"/>
        </w:rPr>
      </w:pPr>
      <w:r>
        <w:rPr>
          <w:rFonts w:ascii="Calibri" w:eastAsia="Calibri" w:hAnsi="Calibri" w:cs="Calibri"/>
          <w:b/>
          <w:bCs/>
          <w:sz w:val="22"/>
          <w:szCs w:val="22"/>
        </w:rPr>
        <w:t>Mikala Terry</w:t>
      </w:r>
    </w:p>
    <w:p w14:paraId="5EF49EC3" w14:textId="77777777" w:rsidR="006968A7" w:rsidRDefault="006968A7">
      <w:pPr>
        <w:spacing w:after="40"/>
      </w:pPr>
      <w:r>
        <w:rPr>
          <w:rFonts w:ascii="Calibri" w:eastAsia="Calibri" w:hAnsi="Calibri" w:cs="Calibri"/>
          <w:b/>
          <w:bCs/>
          <w:sz w:val="22"/>
          <w:szCs w:val="22"/>
        </w:rPr>
        <w:t>Executive Assistant to the Chief Executive Officer</w:t>
      </w:r>
    </w:p>
    <w:p w14:paraId="697B8650" w14:textId="77777777" w:rsidR="00E55B51" w:rsidRDefault="004D61F9">
      <w:pPr>
        <w:spacing w:after="20" w:line="264" w:lineRule="auto"/>
      </w:pPr>
      <w:r>
        <w:rPr>
          <w:rFonts w:ascii="Calibri" w:eastAsia="Calibri" w:hAnsi="Calibri" w:cs="Calibri"/>
          <w:sz w:val="22"/>
          <w:szCs w:val="22"/>
        </w:rPr>
        <w:t>Flint Housing Commission</w:t>
      </w:r>
    </w:p>
    <w:p w14:paraId="42DCA558" w14:textId="77777777" w:rsidR="00E55B51" w:rsidRDefault="004D61F9">
      <w:pPr>
        <w:spacing w:after="20" w:line="264" w:lineRule="auto"/>
      </w:pPr>
      <w:r>
        <w:rPr>
          <w:rFonts w:ascii="Calibri" w:eastAsia="Calibri" w:hAnsi="Calibri" w:cs="Calibri"/>
          <w:sz w:val="22"/>
          <w:szCs w:val="22"/>
        </w:rPr>
        <w:t>3820 Richfield Rd.</w:t>
      </w:r>
    </w:p>
    <w:p w14:paraId="25C00B98" w14:textId="77777777" w:rsidR="00E55B51" w:rsidRDefault="004D61F9">
      <w:pPr>
        <w:spacing w:after="20" w:line="264" w:lineRule="auto"/>
      </w:pPr>
      <w:r>
        <w:rPr>
          <w:rFonts w:ascii="Calibri" w:eastAsia="Calibri" w:hAnsi="Calibri" w:cs="Calibri"/>
          <w:sz w:val="22"/>
          <w:szCs w:val="22"/>
        </w:rPr>
        <w:t>Flint, MI 48506</w:t>
      </w:r>
    </w:p>
    <w:p w14:paraId="53898BE7" w14:textId="77777777" w:rsidR="00E55B51" w:rsidRDefault="004D61F9">
      <w:pPr>
        <w:spacing w:after="20" w:line="264" w:lineRule="auto"/>
      </w:pPr>
      <w:r>
        <w:rPr>
          <w:rFonts w:ascii="Calibri" w:eastAsia="Calibri" w:hAnsi="Calibri" w:cs="Calibri"/>
          <w:sz w:val="22"/>
          <w:szCs w:val="22"/>
        </w:rPr>
        <w:t>mterry@flinthc.org</w:t>
      </w:r>
    </w:p>
    <w:p w14:paraId="5EC8F3E8" w14:textId="77777777" w:rsidR="00E55B51" w:rsidRDefault="004D61F9">
      <w:pPr>
        <w:spacing w:after="60" w:line="264" w:lineRule="auto"/>
      </w:pPr>
      <w:r>
        <w:rPr>
          <w:rFonts w:ascii="Calibri" w:eastAsia="Calibri" w:hAnsi="Calibri" w:cs="Calibri"/>
          <w:sz w:val="22"/>
          <w:szCs w:val="22"/>
        </w:rPr>
        <w:t>810.736.3050</w:t>
      </w:r>
    </w:p>
    <w:p w14:paraId="5E420710" w14:textId="77777777" w:rsidR="00E55B51" w:rsidRDefault="00E55B51">
      <w:pPr>
        <w:pBdr>
          <w:top w:val="single" w:sz="6" w:space="10" w:color="BBBBBB"/>
        </w:pBdr>
        <w:spacing w:before="100" w:after="80"/>
      </w:pPr>
    </w:p>
    <w:p w14:paraId="2615CD5A" w14:textId="77777777" w:rsidR="00E55B51" w:rsidRDefault="004D61F9">
      <w:pPr>
        <w:spacing w:after="120" w:line="264" w:lineRule="auto"/>
        <w:jc w:val="center"/>
      </w:pPr>
      <w:r>
        <w:rPr>
          <w:rFonts w:ascii="Calibri" w:eastAsia="Calibri" w:hAnsi="Calibri" w:cs="Calibri"/>
          <w:i/>
          <w:iCs/>
          <w:color w:val="444444"/>
          <w:sz w:val="22"/>
          <w:szCs w:val="22"/>
        </w:rPr>
        <w:t>We are committed to helping our community grow and our residents prosper by providing housing in pleasant communities at sensible rents.</w:t>
      </w:r>
    </w:p>
    <w:sectPr w:rsidR="00E55B5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6D078E"/>
    <w:multiLevelType w:val="hybridMultilevel"/>
    <w:tmpl w:val="F7FAF072"/>
    <w:lvl w:ilvl="0" w:tplc="0A3273D2">
      <w:start w:val="1"/>
      <w:numFmt w:val="bullet"/>
      <w:lvlText w:val="●"/>
      <w:lvlJc w:val="left"/>
      <w:pPr>
        <w:ind w:left="720" w:hanging="360"/>
      </w:pPr>
    </w:lvl>
    <w:lvl w:ilvl="1" w:tplc="DCA096FC">
      <w:start w:val="1"/>
      <w:numFmt w:val="bullet"/>
      <w:lvlText w:val="○"/>
      <w:lvlJc w:val="left"/>
      <w:pPr>
        <w:ind w:left="1440" w:hanging="360"/>
      </w:pPr>
    </w:lvl>
    <w:lvl w:ilvl="2" w:tplc="BE8C8022">
      <w:start w:val="1"/>
      <w:numFmt w:val="bullet"/>
      <w:lvlText w:val="■"/>
      <w:lvlJc w:val="left"/>
      <w:pPr>
        <w:ind w:left="2160" w:hanging="360"/>
      </w:pPr>
    </w:lvl>
    <w:lvl w:ilvl="3" w:tplc="F95AA296">
      <w:start w:val="1"/>
      <w:numFmt w:val="bullet"/>
      <w:lvlText w:val="●"/>
      <w:lvlJc w:val="left"/>
      <w:pPr>
        <w:ind w:left="2880" w:hanging="360"/>
      </w:pPr>
    </w:lvl>
    <w:lvl w:ilvl="4" w:tplc="E39A3570">
      <w:start w:val="1"/>
      <w:numFmt w:val="bullet"/>
      <w:lvlText w:val="○"/>
      <w:lvlJc w:val="left"/>
      <w:pPr>
        <w:ind w:left="3600" w:hanging="360"/>
      </w:pPr>
    </w:lvl>
    <w:lvl w:ilvl="5" w:tplc="516E429C">
      <w:start w:val="1"/>
      <w:numFmt w:val="bullet"/>
      <w:lvlText w:val="■"/>
      <w:lvlJc w:val="left"/>
      <w:pPr>
        <w:ind w:left="4320" w:hanging="360"/>
      </w:pPr>
    </w:lvl>
    <w:lvl w:ilvl="6" w:tplc="B856435C">
      <w:start w:val="1"/>
      <w:numFmt w:val="bullet"/>
      <w:lvlText w:val="●"/>
      <w:lvlJc w:val="left"/>
      <w:pPr>
        <w:ind w:left="5040" w:hanging="360"/>
      </w:pPr>
    </w:lvl>
    <w:lvl w:ilvl="7" w:tplc="A92EFCD2">
      <w:start w:val="1"/>
      <w:numFmt w:val="bullet"/>
      <w:lvlText w:val="●"/>
      <w:lvlJc w:val="left"/>
      <w:pPr>
        <w:ind w:left="5760" w:hanging="360"/>
      </w:pPr>
    </w:lvl>
    <w:lvl w:ilvl="8" w:tplc="9BD6DB7A">
      <w:start w:val="1"/>
      <w:numFmt w:val="bullet"/>
      <w:lvlText w:val="●"/>
      <w:lvlJc w:val="left"/>
      <w:pPr>
        <w:ind w:left="6480" w:hanging="360"/>
      </w:pPr>
    </w:lvl>
  </w:abstractNum>
  <w:abstractNum w:abstractNumId="1" w15:restartNumberingAfterBreak="0">
    <w:nsid w:val="6F0D1D2C"/>
    <w:multiLevelType w:val="hybridMultilevel"/>
    <w:tmpl w:val="9B0ED6B0"/>
    <w:lvl w:ilvl="0" w:tplc="A742FC20">
      <w:start w:val="1"/>
      <w:numFmt w:val="bullet"/>
      <w:lvlText w:val="•"/>
      <w:lvlJc w:val="left"/>
      <w:pPr>
        <w:ind w:left="504" w:hanging="288"/>
      </w:pPr>
    </w:lvl>
    <w:lvl w:ilvl="1" w:tplc="0660F012">
      <w:numFmt w:val="decimal"/>
      <w:lvlText w:val=""/>
      <w:lvlJc w:val="left"/>
    </w:lvl>
    <w:lvl w:ilvl="2" w:tplc="A04AD2B4">
      <w:numFmt w:val="decimal"/>
      <w:lvlText w:val=""/>
      <w:lvlJc w:val="left"/>
    </w:lvl>
    <w:lvl w:ilvl="3" w:tplc="CC94CF3E">
      <w:numFmt w:val="decimal"/>
      <w:lvlText w:val=""/>
      <w:lvlJc w:val="left"/>
    </w:lvl>
    <w:lvl w:ilvl="4" w:tplc="12E8C620">
      <w:numFmt w:val="decimal"/>
      <w:lvlText w:val=""/>
      <w:lvlJc w:val="left"/>
    </w:lvl>
    <w:lvl w:ilvl="5" w:tplc="3DFA1748">
      <w:numFmt w:val="decimal"/>
      <w:lvlText w:val=""/>
      <w:lvlJc w:val="left"/>
    </w:lvl>
    <w:lvl w:ilvl="6" w:tplc="7DA8254A">
      <w:numFmt w:val="decimal"/>
      <w:lvlText w:val=""/>
      <w:lvlJc w:val="left"/>
    </w:lvl>
    <w:lvl w:ilvl="7" w:tplc="F1C0E048">
      <w:numFmt w:val="decimal"/>
      <w:lvlText w:val=""/>
      <w:lvlJc w:val="left"/>
    </w:lvl>
    <w:lvl w:ilvl="8" w:tplc="D928922C">
      <w:numFmt w:val="decimal"/>
      <w:lvlText w:val=""/>
      <w:lvlJc w:val="left"/>
    </w:lvl>
  </w:abstractNum>
  <w:num w:numId="1" w16cid:durableId="1773436522">
    <w:abstractNumId w:val="0"/>
    <w:lvlOverride w:ilvl="0">
      <w:startOverride w:val="1"/>
    </w:lvlOverride>
  </w:num>
  <w:num w:numId="2" w16cid:durableId="5833026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51"/>
    <w:rsid w:val="00461A85"/>
    <w:rsid w:val="004D61F9"/>
    <w:rsid w:val="006968A7"/>
    <w:rsid w:val="00B76F4D"/>
    <w:rsid w:val="00C67BE6"/>
    <w:rsid w:val="00E316A2"/>
    <w:rsid w:val="00E55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3B52"/>
  <w15:docId w15:val="{35C14B1D-9D09-4A70-9D8B-3F490230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2944</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A. Northern, Sr.</cp:lastModifiedBy>
  <cp:revision>2</cp:revision>
  <dcterms:created xsi:type="dcterms:W3CDTF">2026-08-18T15:42:00Z</dcterms:created>
  <dcterms:modified xsi:type="dcterms:W3CDTF">2026-08-18T15:42:00Z</dcterms:modified>
</cp:coreProperties>
</file>